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35B3" w14:textId="4C99AA64" w:rsidR="00107FAE" w:rsidRDefault="00396000" w:rsidP="00421472">
      <w:pPr>
        <w:pStyle w:val="Ttulo1"/>
        <w:rPr>
          <w:lang w:val="es-ES"/>
        </w:rPr>
      </w:pPr>
      <w:r>
        <w:rPr>
          <w:lang w:val="es-ES"/>
        </w:rPr>
        <w:t>Proyecto</w:t>
      </w:r>
      <w:r w:rsidR="00107FAE">
        <w:rPr>
          <w:lang w:val="es-ES"/>
        </w:rPr>
        <w:t xml:space="preserve"> reforma tributaria</w:t>
      </w:r>
      <w:r w:rsidR="00D36189">
        <w:rPr>
          <w:lang w:val="es-ES"/>
        </w:rPr>
        <w:t xml:space="preserve"> 202</w:t>
      </w:r>
      <w:r>
        <w:rPr>
          <w:lang w:val="es-ES"/>
        </w:rPr>
        <w:t>5</w:t>
      </w:r>
      <w:r w:rsidR="00107FAE">
        <w:rPr>
          <w:lang w:val="es-ES"/>
        </w:rPr>
        <w:t>: Modificaciones propuestas a las retenciones en la fuente sobre rentas de trabajo</w:t>
      </w:r>
    </w:p>
    <w:p w14:paraId="3AD6ED91" w14:textId="736F117C" w:rsidR="00107FAE" w:rsidRDefault="0034673F">
      <w:pPr>
        <w:rPr>
          <w:lang w:val="es-ES"/>
        </w:rPr>
      </w:pPr>
      <w:r>
        <w:rPr>
          <w:noProof/>
          <w:lang w:val="es-ES"/>
        </w:rPr>
        <mc:AlternateContent>
          <mc:Choice Requires="wps">
            <w:drawing>
              <wp:anchor distT="0" distB="0" distL="114300" distR="114300" simplePos="0" relativeHeight="251659264" behindDoc="0" locked="0" layoutInCell="1" allowOverlap="1" wp14:anchorId="06FEBDE8" wp14:editId="3F562D9C">
                <wp:simplePos x="0" y="0"/>
                <wp:positionH relativeFrom="column">
                  <wp:posOffset>14265</wp:posOffset>
                </wp:positionH>
                <wp:positionV relativeFrom="paragraph">
                  <wp:posOffset>148325</wp:posOffset>
                </wp:positionV>
                <wp:extent cx="5578608" cy="1209600"/>
                <wp:effectExtent l="0" t="0" r="9525" b="10160"/>
                <wp:wrapNone/>
                <wp:docPr id="1938900431" name="Cuadro de texto 1"/>
                <wp:cNvGraphicFramePr/>
                <a:graphic xmlns:a="http://schemas.openxmlformats.org/drawingml/2006/main">
                  <a:graphicData uri="http://schemas.microsoft.com/office/word/2010/wordprocessingShape">
                    <wps:wsp>
                      <wps:cNvSpPr txBox="1"/>
                      <wps:spPr>
                        <a:xfrm>
                          <a:off x="0" y="0"/>
                          <a:ext cx="5578608" cy="1209600"/>
                        </a:xfrm>
                        <a:prstGeom prst="rect">
                          <a:avLst/>
                        </a:prstGeom>
                        <a:solidFill>
                          <a:schemeClr val="lt1"/>
                        </a:solidFill>
                        <a:ln w="6350">
                          <a:solidFill>
                            <a:prstClr val="black"/>
                          </a:solidFill>
                        </a:ln>
                      </wps:spPr>
                      <wps:txbx>
                        <w:txbxContent>
                          <w:p w14:paraId="415429C0" w14:textId="763B93E0" w:rsidR="0034673F" w:rsidRPr="0034673F" w:rsidRDefault="0034673F">
                            <w:pPr>
                              <w:rPr>
                                <w:lang w:val="es-ES"/>
                              </w:rPr>
                            </w:pPr>
                            <w:r>
                              <w:rPr>
                                <w:lang w:val="es-ES"/>
                              </w:rPr>
                              <w:t>En el proyecto se propone eliminar el procedimiento 2 de retención en la fuente y</w:t>
                            </w:r>
                            <w:r w:rsidR="00795625">
                              <w:rPr>
                                <w:lang w:val="es-ES"/>
                              </w:rPr>
                              <w:t xml:space="preserve"> </w:t>
                            </w:r>
                            <w:r w:rsidR="009F4F8A">
                              <w:rPr>
                                <w:lang w:val="es-ES"/>
                              </w:rPr>
                              <w:t xml:space="preserve">al mismo tiempo </w:t>
                            </w:r>
                            <w:r w:rsidR="00795625">
                              <w:rPr>
                                <w:lang w:val="es-ES"/>
                              </w:rPr>
                              <w:t>modificar casi todos los rangos de la tabla del artículo 383 del ET para aumentar la retención sobre rentas de trabajo</w:t>
                            </w:r>
                            <w:r>
                              <w:rPr>
                                <w:lang w:val="es-ES"/>
                              </w:rPr>
                              <w:t xml:space="preserve"> </w:t>
                            </w:r>
                            <w:r w:rsidR="00795625">
                              <w:rPr>
                                <w:lang w:val="es-ES"/>
                              </w:rPr>
                              <w:t>pues el proyecto también propone modificar casi todos los rangos de la tabla del artículo 241 del ET con la cual se liquida el impuesto de renta al final del año</w:t>
                            </w:r>
                            <w:r w:rsidR="009F4F8A">
                              <w:rPr>
                                <w:lang w:val="es-ES"/>
                              </w:rPr>
                              <w:t>. Además, se propone someter a retención los ingresos por cesantías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FEBDE8" id="_x0000_t202" coordsize="21600,21600" o:spt="202" path="m,l,21600r21600,l21600,xe">
                <v:stroke joinstyle="miter"/>
                <v:path gradientshapeok="t" o:connecttype="rect"/>
              </v:shapetype>
              <v:shape id="Cuadro de texto 1" o:spid="_x0000_s1026" type="#_x0000_t202" style="position:absolute;margin-left:1.1pt;margin-top:11.7pt;width:439.25pt;height:9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" fillcolor="white [3201]" strokeweight=".5pt">
                <v:textbox>
                  <w:txbxContent>
                    <w:p w14:paraId="415429C0" w14:textId="763B93E0" w:rsidR="0034673F" w:rsidRPr="0034673F" w:rsidRDefault="0034673F">
                      <w:pPr>
                        <w:rPr>
                          <w:lang w:val="es-ES"/>
                        </w:rPr>
                      </w:pPr>
                      <w:r>
                        <w:rPr>
                          <w:lang w:val="es-ES"/>
                        </w:rPr>
                        <w:t>En el proyecto se propone eliminar el procedimiento 2 de retención en la fuente y</w:t>
                      </w:r>
                      <w:r w:rsidR="00795625">
                        <w:rPr>
                          <w:lang w:val="es-ES"/>
                        </w:rPr>
                        <w:t xml:space="preserve"> </w:t>
                      </w:r>
                      <w:r w:rsidR="009F4F8A">
                        <w:rPr>
                          <w:lang w:val="es-ES"/>
                        </w:rPr>
                        <w:t xml:space="preserve">al mismo tiempo </w:t>
                      </w:r>
                      <w:r w:rsidR="00795625">
                        <w:rPr>
                          <w:lang w:val="es-ES"/>
                        </w:rPr>
                        <w:t>modificar casi todos los rangos de la tabla del artículo 383 del ET para aumentar la retención sobre rentas de trabajo</w:t>
                      </w:r>
                      <w:r>
                        <w:rPr>
                          <w:lang w:val="es-ES"/>
                        </w:rPr>
                        <w:t xml:space="preserve"> </w:t>
                      </w:r>
                      <w:r w:rsidR="00795625">
                        <w:rPr>
                          <w:lang w:val="es-ES"/>
                        </w:rPr>
                        <w:t>pues el proyecto también propone modificar casi todos los rangos de la tabla del artículo 241 del ET con la cual se liquida el impuesto de renta al final del año</w:t>
                      </w:r>
                      <w:r w:rsidR="009F4F8A">
                        <w:rPr>
                          <w:lang w:val="es-ES"/>
                        </w:rPr>
                        <w:t>. Además, se propone someter a retención los ingresos por cesantías</w:t>
                      </w:r>
                    </w:p>
                  </w:txbxContent>
                </v:textbox>
              </v:shape>
            </w:pict>
          </mc:Fallback>
        </mc:AlternateContent>
      </w:r>
    </w:p>
    <w:p w14:paraId="45DF854D" w14:textId="77777777" w:rsidR="0034673F" w:rsidRDefault="0034673F">
      <w:pPr>
        <w:rPr>
          <w:lang w:val="es-ES"/>
        </w:rPr>
      </w:pPr>
    </w:p>
    <w:p w14:paraId="30F40402" w14:textId="77777777" w:rsidR="0034673F" w:rsidRDefault="0034673F">
      <w:pPr>
        <w:rPr>
          <w:lang w:val="es-ES"/>
        </w:rPr>
      </w:pPr>
    </w:p>
    <w:p w14:paraId="6264AFD6" w14:textId="77777777" w:rsidR="004179A0" w:rsidRDefault="004179A0">
      <w:pPr>
        <w:rPr>
          <w:lang w:val="es-ES"/>
        </w:rPr>
      </w:pPr>
    </w:p>
    <w:p w14:paraId="4EFEF7B2" w14:textId="77777777" w:rsidR="0034673F" w:rsidRDefault="0034673F" w:rsidP="004179A0">
      <w:pPr>
        <w:rPr>
          <w:lang w:val="es-ES"/>
        </w:rPr>
      </w:pPr>
    </w:p>
    <w:p w14:paraId="61B9E5BB" w14:textId="77777777" w:rsidR="0034673F" w:rsidRDefault="0034673F" w:rsidP="004179A0">
      <w:pPr>
        <w:rPr>
          <w:lang w:val="es-ES"/>
        </w:rPr>
      </w:pPr>
    </w:p>
    <w:p w14:paraId="1C3555CF" w14:textId="77777777" w:rsidR="0034673F" w:rsidRDefault="0034673F" w:rsidP="004179A0">
      <w:pPr>
        <w:rPr>
          <w:lang w:val="es-ES"/>
        </w:rPr>
      </w:pPr>
    </w:p>
    <w:p w14:paraId="46565C21" w14:textId="77777777" w:rsidR="0034673F" w:rsidRDefault="0034673F" w:rsidP="004179A0">
      <w:pPr>
        <w:rPr>
          <w:lang w:val="es-ES"/>
        </w:rPr>
      </w:pPr>
    </w:p>
    <w:p w14:paraId="4BBA8E9E" w14:textId="77708F08" w:rsidR="004179A0" w:rsidRDefault="004179A0" w:rsidP="004179A0">
      <w:pPr>
        <w:rPr>
          <w:lang w:val="es-ES"/>
        </w:rPr>
      </w:pPr>
      <w:r>
        <w:rPr>
          <w:lang w:val="es-ES"/>
        </w:rPr>
        <w:t xml:space="preserve">Entre las múltiples propuestas contenidas en el </w:t>
      </w:r>
      <w:hyperlink r:id="rId5" w:history="1">
        <w:r w:rsidRPr="001F5918">
          <w:rPr>
            <w:rStyle w:val="Hipervnculo"/>
            <w:lang w:val="es-ES"/>
          </w:rPr>
          <w:t xml:space="preserve">nuevo proyecto de reforma tributaria radicado por el Gobierno de Gustavo Petro en el congreso el </w:t>
        </w:r>
        <w:r w:rsidR="00396000">
          <w:rPr>
            <w:rStyle w:val="Hipervnculo"/>
            <w:lang w:val="es-ES"/>
          </w:rPr>
          <w:t>lunes</w:t>
        </w:r>
        <w:r w:rsidRPr="001F5918">
          <w:rPr>
            <w:rStyle w:val="Hipervnculo"/>
            <w:lang w:val="es-ES"/>
          </w:rPr>
          <w:t xml:space="preserve"> </w:t>
        </w:r>
        <w:r w:rsidR="00396000">
          <w:rPr>
            <w:rStyle w:val="Hipervnculo"/>
            <w:lang w:val="es-ES"/>
          </w:rPr>
          <w:t>1</w:t>
        </w:r>
        <w:r w:rsidRPr="001F5918">
          <w:rPr>
            <w:rStyle w:val="Hipervnculo"/>
            <w:lang w:val="es-ES"/>
          </w:rPr>
          <w:t xml:space="preserve"> de septiembre de 202</w:t>
        </w:r>
        <w:r w:rsidR="00396000">
          <w:rPr>
            <w:rStyle w:val="Hipervnculo"/>
            <w:lang w:val="es-ES"/>
          </w:rPr>
          <w:t>5</w:t>
        </w:r>
      </w:hyperlink>
      <w:r>
        <w:rPr>
          <w:lang w:val="es-ES"/>
        </w:rPr>
        <w:t xml:space="preserve"> (y que será tramitado como </w:t>
      </w:r>
      <w:hyperlink r:id="rId6" w:history="1">
        <w:r w:rsidRPr="00396000">
          <w:rPr>
            <w:rStyle w:val="Hipervnculo"/>
            <w:lang w:val="es-ES"/>
          </w:rPr>
          <w:t>un Proyecto de Ley de financiamiento</w:t>
        </w:r>
      </w:hyperlink>
      <w:r>
        <w:rPr>
          <w:lang w:val="es-ES"/>
        </w:rPr>
        <w:t xml:space="preserve"> regulado por el artículo 347 de la Constitución Nacional con miras a conseguir cerca de </w:t>
      </w:r>
      <w:r w:rsidR="00396000">
        <w:rPr>
          <w:lang w:val="es-ES"/>
        </w:rPr>
        <w:t>26</w:t>
      </w:r>
      <w:r>
        <w:rPr>
          <w:lang w:val="es-ES"/>
        </w:rPr>
        <w:t xml:space="preserve"> billones de pesos que permitan cubrir </w:t>
      </w:r>
      <w:hyperlink r:id="rId7" w:history="1">
        <w:r w:rsidRPr="007A0F28">
          <w:rPr>
            <w:rStyle w:val="Hipervnculo"/>
            <w:lang w:val="es-ES"/>
          </w:rPr>
          <w:t>la financiación del presupuesto público de la Nación para el año 202</w:t>
        </w:r>
        <w:r w:rsidR="00396000">
          <w:rPr>
            <w:rStyle w:val="Hipervnculo"/>
            <w:lang w:val="es-ES"/>
          </w:rPr>
          <w:t>6</w:t>
        </w:r>
        <w:r w:rsidRPr="007A0F28">
          <w:rPr>
            <w:rStyle w:val="Hipervnculo"/>
            <w:lang w:val="es-ES"/>
          </w:rPr>
          <w:t xml:space="preserve"> que se empezó a discutir </w:t>
        </w:r>
        <w:r w:rsidR="00786F0C">
          <w:rPr>
            <w:rStyle w:val="Hipervnculo"/>
            <w:lang w:val="es-ES"/>
          </w:rPr>
          <w:t xml:space="preserve">desde julio de 2025 </w:t>
        </w:r>
        <w:r w:rsidRPr="007A0F28">
          <w:rPr>
            <w:rStyle w:val="Hipervnculo"/>
            <w:lang w:val="es-ES"/>
          </w:rPr>
          <w:t>en el congreso</w:t>
        </w:r>
      </w:hyperlink>
      <w:r>
        <w:rPr>
          <w:lang w:val="es-ES"/>
        </w:rPr>
        <w:t xml:space="preserve">), se incluyeron </w:t>
      </w:r>
      <w:r w:rsidR="00786F0C">
        <w:rPr>
          <w:lang w:val="es-ES"/>
        </w:rPr>
        <w:t xml:space="preserve">de nuevo (al mismo estilo de lo que sucedió con el </w:t>
      </w:r>
      <w:hyperlink r:id="rId8" w:history="1">
        <w:r w:rsidR="00786F0C" w:rsidRPr="00786F0C">
          <w:rPr>
            <w:rStyle w:val="Hipervnculo"/>
            <w:lang w:val="es-ES"/>
          </w:rPr>
          <w:t>fracasado proyecto de ley de financiam</w:t>
        </w:r>
        <w:r w:rsidR="001D56DF">
          <w:rPr>
            <w:rStyle w:val="Hipervnculo"/>
            <w:lang w:val="es-ES"/>
          </w:rPr>
          <w:t>i</w:t>
        </w:r>
        <w:r w:rsidR="00786F0C" w:rsidRPr="00786F0C">
          <w:rPr>
            <w:rStyle w:val="Hipervnculo"/>
            <w:lang w:val="es-ES"/>
          </w:rPr>
          <w:t>ento del 2024</w:t>
        </w:r>
      </w:hyperlink>
      <w:r w:rsidR="00786F0C">
        <w:rPr>
          <w:lang w:val="es-ES"/>
        </w:rPr>
        <w:t xml:space="preserve">), </w:t>
      </w:r>
      <w:r>
        <w:rPr>
          <w:lang w:val="es-ES"/>
        </w:rPr>
        <w:t xml:space="preserve">las de modificar los artículos </w:t>
      </w:r>
      <w:hyperlink r:id="rId9" w:anchor="383" w:history="1">
        <w:r>
          <w:rPr>
            <w:rStyle w:val="Hipervnculo"/>
            <w:lang w:val="es-ES"/>
          </w:rPr>
          <w:t>383</w:t>
        </w:r>
        <w:r w:rsidRPr="00200A21">
          <w:rPr>
            <w:rStyle w:val="Hipervnculo"/>
            <w:lang w:val="es-ES"/>
          </w:rPr>
          <w:t xml:space="preserve">, </w:t>
        </w:r>
        <w:r>
          <w:rPr>
            <w:rStyle w:val="Hipervnculo"/>
            <w:lang w:val="es-ES"/>
          </w:rPr>
          <w:t>385</w:t>
        </w:r>
        <w:r w:rsidRPr="00200A21">
          <w:rPr>
            <w:rStyle w:val="Hipervnculo"/>
            <w:lang w:val="es-ES"/>
          </w:rPr>
          <w:t xml:space="preserve"> y </w:t>
        </w:r>
        <w:r w:rsidR="00304795">
          <w:rPr>
            <w:rStyle w:val="Hipervnculo"/>
            <w:lang w:val="es-ES"/>
          </w:rPr>
          <w:t>3</w:t>
        </w:r>
        <w:r>
          <w:rPr>
            <w:rStyle w:val="Hipervnculo"/>
            <w:lang w:val="es-ES"/>
          </w:rPr>
          <w:t>86</w:t>
        </w:r>
        <w:r w:rsidRPr="00200A21">
          <w:rPr>
            <w:rStyle w:val="Hipervnculo"/>
            <w:lang w:val="es-ES"/>
          </w:rPr>
          <w:t xml:space="preserve"> del ET</w:t>
        </w:r>
      </w:hyperlink>
      <w:r>
        <w:rPr>
          <w:lang w:val="es-ES"/>
        </w:rPr>
        <w:t xml:space="preserve"> con el propósito de introducir cambios importantes a la práctica de las retenciones en la fuente a las personas naturales residentes que perciban rentas de trabajo en suelo Colombiano</w:t>
      </w:r>
    </w:p>
    <w:p w14:paraId="4EFE1020" w14:textId="77777777" w:rsidR="004179A0" w:rsidRDefault="004179A0" w:rsidP="004179A0">
      <w:pPr>
        <w:rPr>
          <w:lang w:val="es-ES"/>
        </w:rPr>
      </w:pPr>
    </w:p>
    <w:p w14:paraId="1C17A24F" w14:textId="0864BF30" w:rsidR="004179A0" w:rsidRDefault="004179A0" w:rsidP="004179A0">
      <w:pPr>
        <w:rPr>
          <w:lang w:val="es-ES"/>
        </w:rPr>
      </w:pPr>
      <w:r>
        <w:rPr>
          <w:lang w:val="es-ES"/>
        </w:rPr>
        <w:t xml:space="preserve">Para entender </w:t>
      </w:r>
      <w:r w:rsidR="00304795">
        <w:rPr>
          <w:lang w:val="es-ES"/>
        </w:rPr>
        <w:t xml:space="preserve">entonces </w:t>
      </w:r>
      <w:r>
        <w:rPr>
          <w:lang w:val="es-ES"/>
        </w:rPr>
        <w:t>las modificaciones propuestas a</w:t>
      </w:r>
      <w:r w:rsidR="00304795">
        <w:rPr>
          <w:lang w:val="es-ES"/>
        </w:rPr>
        <w:t xml:space="preserve"> los artículos 383, 385 y 386 del ET</w:t>
      </w:r>
      <w:r>
        <w:rPr>
          <w:lang w:val="es-ES"/>
        </w:rPr>
        <w:t>, a continuación presentamos su</w:t>
      </w:r>
      <w:r w:rsidR="00555718">
        <w:rPr>
          <w:lang w:val="es-ES"/>
        </w:rPr>
        <w:t>s</w:t>
      </w:r>
      <w:r>
        <w:rPr>
          <w:lang w:val="es-ES"/>
        </w:rPr>
        <w:t xml:space="preserve"> versi</w:t>
      </w:r>
      <w:r w:rsidR="00555718">
        <w:rPr>
          <w:lang w:val="es-ES"/>
        </w:rPr>
        <w:t>ones</w:t>
      </w:r>
      <w:r>
        <w:rPr>
          <w:lang w:val="es-ES"/>
        </w:rPr>
        <w:t xml:space="preserve"> comparativa</w:t>
      </w:r>
      <w:r w:rsidR="00555718">
        <w:rPr>
          <w:lang w:val="es-ES"/>
        </w:rPr>
        <w:t>s</w:t>
      </w:r>
      <w:r>
        <w:rPr>
          <w:lang w:val="es-ES"/>
        </w:rPr>
        <w:t xml:space="preserve"> (los subrayados son nuestros)</w:t>
      </w:r>
    </w:p>
    <w:p w14:paraId="51BA7EEC" w14:textId="77777777" w:rsidR="004179A0" w:rsidRDefault="004179A0" w:rsidP="004179A0">
      <w:pPr>
        <w:rPr>
          <w:lang w:val="es-ES"/>
        </w:rPr>
      </w:pPr>
    </w:p>
    <w:tbl>
      <w:tblPr>
        <w:tblStyle w:val="Tablaconcuadrcula"/>
        <w:tblW w:w="0" w:type="auto"/>
        <w:tblLook w:val="04A0" w:firstRow="1" w:lastRow="0" w:firstColumn="1" w:lastColumn="0" w:noHBand="0" w:noVBand="1"/>
      </w:tblPr>
      <w:tblGrid>
        <w:gridCol w:w="4414"/>
        <w:gridCol w:w="4414"/>
      </w:tblGrid>
      <w:tr w:rsidR="004179A0" w14:paraId="539730DE" w14:textId="77777777" w:rsidTr="00FD286E">
        <w:tc>
          <w:tcPr>
            <w:tcW w:w="4414" w:type="dxa"/>
          </w:tcPr>
          <w:p w14:paraId="7AA415D9" w14:textId="77777777" w:rsidR="004179A0" w:rsidRPr="00304313" w:rsidRDefault="004179A0" w:rsidP="00FD286E">
            <w:pPr>
              <w:jc w:val="center"/>
              <w:rPr>
                <w:i/>
                <w:iCs/>
                <w:color w:val="000000" w:themeColor="text1"/>
                <w:lang w:val="es-ES"/>
              </w:rPr>
            </w:pPr>
            <w:r w:rsidRPr="00304313">
              <w:rPr>
                <w:i/>
                <w:iCs/>
                <w:color w:val="000000" w:themeColor="text1"/>
                <w:lang w:val="es-ES"/>
              </w:rPr>
              <w:t>Versión actual de la norma</w:t>
            </w:r>
          </w:p>
        </w:tc>
        <w:tc>
          <w:tcPr>
            <w:tcW w:w="4414" w:type="dxa"/>
          </w:tcPr>
          <w:p w14:paraId="03E7182D" w14:textId="77777777" w:rsidR="004179A0" w:rsidRPr="00304313" w:rsidRDefault="004179A0" w:rsidP="00FD286E">
            <w:pPr>
              <w:jc w:val="center"/>
              <w:rPr>
                <w:i/>
                <w:iCs/>
                <w:color w:val="000000" w:themeColor="text1"/>
                <w:lang w:val="es-ES"/>
              </w:rPr>
            </w:pPr>
            <w:r w:rsidRPr="00304313">
              <w:rPr>
                <w:i/>
                <w:iCs/>
                <w:color w:val="000000" w:themeColor="text1"/>
                <w:lang w:val="es-ES"/>
              </w:rPr>
              <w:t>Nueva versión con que quedaría la norma si se aprueba la proposición del proyecto de Ley</w:t>
            </w:r>
          </w:p>
        </w:tc>
      </w:tr>
      <w:tr w:rsidR="009A5EB0" w14:paraId="6448A409" w14:textId="77777777" w:rsidTr="00FD286E">
        <w:tc>
          <w:tcPr>
            <w:tcW w:w="4414" w:type="dxa"/>
          </w:tcPr>
          <w:p w14:paraId="2DBC94D3" w14:textId="681E44C0"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b/>
                <w:i/>
                <w:iCs/>
                <w:color w:val="0070C0"/>
                <w:sz w:val="16"/>
                <w:szCs w:val="16"/>
                <w:lang w:eastAsia="es-CO"/>
              </w:rPr>
              <w:t xml:space="preserve">Articulo 383. Tarifa </w:t>
            </w:r>
            <w:r w:rsidRPr="007B44CF">
              <w:rPr>
                <w:rFonts w:ascii="Cambria" w:eastAsia="Times New Roman" w:hAnsi="Cambria" w:cstheme="minorHAnsi"/>
                <w:i/>
                <w:iCs/>
                <w:color w:val="0070C0"/>
                <w:sz w:val="16"/>
                <w:szCs w:val="16"/>
                <w:lang w:eastAsia="es-CO"/>
              </w:rPr>
              <w:t>La retención en la fuente aplicable a los pagos gravables efectuados por las personas naturales o jurídicas, las sociedades de hecho, las comunidades organizadas y las sucesiones ilíquidas, originados en la relación laboral, o legal y reglamentaria, y los pagos recibidos por concepto de pensiones de jubilación, invalidez, vejez, de sobrevivientes y sobre riesgos laborales, será la que resulte de aplicar a dichos pagos la siguiente tabla de retención en la fuente:</w:t>
            </w:r>
          </w:p>
          <w:p w14:paraId="36A63AD8"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4E3467B3" w14:textId="77777777" w:rsidR="009A5EB0" w:rsidRDefault="009A5EB0" w:rsidP="009A5EB0">
            <w:pPr>
              <w:jc w:val="both"/>
              <w:rPr>
                <w:rFonts w:ascii="Cambria" w:eastAsia="Times New Roman" w:hAnsi="Cambria" w:cstheme="minorHAnsi"/>
                <w:i/>
                <w:iCs/>
                <w:color w:val="0070C0"/>
                <w:sz w:val="16"/>
                <w:szCs w:val="16"/>
                <w:lang w:eastAsia="es-CO"/>
              </w:rPr>
            </w:pPr>
          </w:p>
          <w:p w14:paraId="318CB9B4" w14:textId="77777777" w:rsidR="007E335A" w:rsidRPr="007B44CF" w:rsidRDefault="007E335A" w:rsidP="009A5EB0">
            <w:pPr>
              <w:jc w:val="both"/>
              <w:rPr>
                <w:rFonts w:ascii="Cambria" w:eastAsia="Times New Roman" w:hAnsi="Cambria" w:cstheme="minorHAnsi"/>
                <w:i/>
                <w:iCs/>
                <w:color w:val="0070C0"/>
                <w:sz w:val="16"/>
                <w:szCs w:val="16"/>
                <w:lang w:eastAsia="es-CO"/>
              </w:rPr>
            </w:pPr>
          </w:p>
          <w:p w14:paraId="222C424B" w14:textId="77777777" w:rsidR="009A5EB0" w:rsidRPr="007B44CF" w:rsidRDefault="009A5EB0" w:rsidP="009A5EB0">
            <w:pPr>
              <w:pStyle w:val="NormalWeb"/>
              <w:spacing w:before="0" w:beforeAutospacing="0" w:after="0" w:afterAutospacing="0"/>
              <w:jc w:val="both"/>
              <w:rPr>
                <w:rFonts w:ascii="Cambria" w:hAnsi="Cambria" w:cstheme="minorHAnsi"/>
                <w:i/>
                <w:iCs/>
                <w:color w:val="0070C0"/>
                <w:sz w:val="16"/>
                <w:szCs w:val="16"/>
              </w:rPr>
            </w:pPr>
          </w:p>
          <w:tbl>
            <w:tblPr>
              <w:tblStyle w:val="Tablaconcuadrcula"/>
              <w:tblW w:w="0" w:type="auto"/>
              <w:tblLook w:val="04A0" w:firstRow="1" w:lastRow="0" w:firstColumn="1" w:lastColumn="0" w:noHBand="0" w:noVBand="1"/>
            </w:tblPr>
            <w:tblGrid>
              <w:gridCol w:w="1013"/>
              <w:gridCol w:w="1015"/>
              <w:gridCol w:w="1017"/>
              <w:gridCol w:w="1143"/>
            </w:tblGrid>
            <w:tr w:rsidR="007B44CF" w:rsidRPr="007B44CF" w14:paraId="6C88BDB5" w14:textId="77777777" w:rsidTr="00805894">
              <w:tc>
                <w:tcPr>
                  <w:tcW w:w="2038" w:type="dxa"/>
                  <w:gridSpan w:val="2"/>
                  <w:vAlign w:val="center"/>
                </w:tcPr>
                <w:p w14:paraId="16F7F836"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 xml:space="preserve">Rangos en UVT </w:t>
                  </w:r>
                </w:p>
              </w:tc>
              <w:tc>
                <w:tcPr>
                  <w:tcW w:w="1020" w:type="dxa"/>
                  <w:vMerge w:val="restart"/>
                  <w:vAlign w:val="center"/>
                </w:tcPr>
                <w:p w14:paraId="41F9F59A"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Tarifa marginal</w:t>
                  </w:r>
                </w:p>
              </w:tc>
              <w:tc>
                <w:tcPr>
                  <w:tcW w:w="1147" w:type="dxa"/>
                  <w:vMerge w:val="restart"/>
                  <w:vAlign w:val="center"/>
                </w:tcPr>
                <w:p w14:paraId="2D4FE173"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lang w:val="es-ES"/>
                    </w:rPr>
                  </w:pPr>
                  <w:r w:rsidRPr="007B44CF">
                    <w:rPr>
                      <w:rFonts w:ascii="Cambria" w:hAnsi="Cambria" w:cstheme="minorHAnsi"/>
                      <w:i/>
                      <w:iCs/>
                      <w:color w:val="0070C0"/>
                      <w:sz w:val="16"/>
                      <w:szCs w:val="16"/>
                    </w:rPr>
                    <w:t>Retención</w:t>
                  </w:r>
                  <w:r w:rsidRPr="007B44CF">
                    <w:rPr>
                      <w:rFonts w:ascii="Cambria" w:hAnsi="Cambria" w:cstheme="minorHAnsi"/>
                      <w:i/>
                      <w:iCs/>
                      <w:color w:val="0070C0"/>
                      <w:sz w:val="16"/>
                      <w:szCs w:val="16"/>
                      <w:lang w:val="es-ES"/>
                    </w:rPr>
                    <w:t xml:space="preserve"> en la fuente</w:t>
                  </w:r>
                </w:p>
              </w:tc>
            </w:tr>
            <w:tr w:rsidR="007B44CF" w:rsidRPr="007B44CF" w14:paraId="33F05E96" w14:textId="77777777" w:rsidTr="00805894">
              <w:trPr>
                <w:trHeight w:val="226"/>
              </w:trPr>
              <w:tc>
                <w:tcPr>
                  <w:tcW w:w="1019" w:type="dxa"/>
                </w:tcPr>
                <w:p w14:paraId="54E2CD27"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Desde</w:t>
                  </w:r>
                </w:p>
              </w:tc>
              <w:tc>
                <w:tcPr>
                  <w:tcW w:w="1019" w:type="dxa"/>
                </w:tcPr>
                <w:p w14:paraId="1BE52983"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Hasta</w:t>
                  </w:r>
                </w:p>
              </w:tc>
              <w:tc>
                <w:tcPr>
                  <w:tcW w:w="1020" w:type="dxa"/>
                  <w:vMerge/>
                </w:tcPr>
                <w:p w14:paraId="41763FFC"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p>
              </w:tc>
              <w:tc>
                <w:tcPr>
                  <w:tcW w:w="1147" w:type="dxa"/>
                  <w:vMerge/>
                </w:tcPr>
                <w:p w14:paraId="708185A1" w14:textId="77777777" w:rsidR="009A5EB0" w:rsidRPr="007B44CF" w:rsidRDefault="009A5EB0" w:rsidP="009A5EB0">
                  <w:pPr>
                    <w:jc w:val="center"/>
                    <w:rPr>
                      <w:rFonts w:ascii="Cambria" w:eastAsia="Times New Roman" w:hAnsi="Cambria" w:cstheme="minorHAnsi"/>
                      <w:i/>
                      <w:iCs/>
                      <w:color w:val="0070C0"/>
                      <w:sz w:val="16"/>
                      <w:szCs w:val="16"/>
                      <w:lang w:eastAsia="es-CO"/>
                    </w:rPr>
                  </w:pPr>
                </w:p>
              </w:tc>
            </w:tr>
            <w:tr w:rsidR="007B44CF" w:rsidRPr="007B44CF" w14:paraId="1FE48CBA" w14:textId="77777777" w:rsidTr="00805894">
              <w:trPr>
                <w:trHeight w:val="226"/>
              </w:trPr>
              <w:tc>
                <w:tcPr>
                  <w:tcW w:w="1019" w:type="dxa"/>
                  <w:vAlign w:val="center"/>
                </w:tcPr>
                <w:p w14:paraId="276965F4"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&gt;0</w:t>
                  </w:r>
                </w:p>
              </w:tc>
              <w:tc>
                <w:tcPr>
                  <w:tcW w:w="1019" w:type="dxa"/>
                  <w:vAlign w:val="center"/>
                </w:tcPr>
                <w:p w14:paraId="117903BB"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95</w:t>
                  </w:r>
                </w:p>
              </w:tc>
              <w:tc>
                <w:tcPr>
                  <w:tcW w:w="1020" w:type="dxa"/>
                  <w:vAlign w:val="center"/>
                </w:tcPr>
                <w:p w14:paraId="6A90D859"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0%</w:t>
                  </w:r>
                </w:p>
              </w:tc>
              <w:tc>
                <w:tcPr>
                  <w:tcW w:w="1147" w:type="dxa"/>
                  <w:vAlign w:val="center"/>
                </w:tcPr>
                <w:p w14:paraId="51C8D01B"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r w:rsidRPr="007B44CF">
                    <w:rPr>
                      <w:rFonts w:ascii="Cambria" w:hAnsi="Cambria" w:cstheme="minorHAnsi"/>
                      <w:i/>
                      <w:iCs/>
                      <w:color w:val="0070C0"/>
                      <w:sz w:val="16"/>
                      <w:szCs w:val="16"/>
                    </w:rPr>
                    <w:t>0</w:t>
                  </w:r>
                </w:p>
              </w:tc>
            </w:tr>
            <w:tr w:rsidR="007B44CF" w:rsidRPr="007B44CF" w14:paraId="64EE9507" w14:textId="77777777" w:rsidTr="00805894">
              <w:tc>
                <w:tcPr>
                  <w:tcW w:w="1019" w:type="dxa"/>
                </w:tcPr>
                <w:p w14:paraId="1DF78B26"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lastRenderedPageBreak/>
                    <w:t>&gt;95</w:t>
                  </w:r>
                </w:p>
              </w:tc>
              <w:tc>
                <w:tcPr>
                  <w:tcW w:w="1019" w:type="dxa"/>
                </w:tcPr>
                <w:p w14:paraId="3CA1E089"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150</w:t>
                  </w:r>
                </w:p>
              </w:tc>
              <w:tc>
                <w:tcPr>
                  <w:tcW w:w="1020" w:type="dxa"/>
                </w:tcPr>
                <w:p w14:paraId="292FB64C"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19%</w:t>
                  </w:r>
                </w:p>
              </w:tc>
              <w:tc>
                <w:tcPr>
                  <w:tcW w:w="1147" w:type="dxa"/>
                  <w:vAlign w:val="center"/>
                </w:tcPr>
                <w:p w14:paraId="267142E0" w14:textId="77777777" w:rsidR="009A5EB0" w:rsidRPr="007B44CF" w:rsidRDefault="009A5EB0" w:rsidP="009A5EB0">
                  <w:pPr>
                    <w:rPr>
                      <w:rFonts w:ascii="Cambria" w:hAnsi="Cambria" w:cs="Arial"/>
                      <w:i/>
                      <w:iCs/>
                      <w:color w:val="0070C0"/>
                      <w:sz w:val="16"/>
                      <w:szCs w:val="16"/>
                    </w:rPr>
                  </w:pPr>
                  <w:r w:rsidRPr="007B44CF">
                    <w:rPr>
                      <w:rFonts w:ascii="Cambria" w:hAnsi="Cambria" w:cs="Arial"/>
                      <w:i/>
                      <w:iCs/>
                      <w:color w:val="0070C0"/>
                      <w:sz w:val="16"/>
                      <w:szCs w:val="16"/>
                    </w:rPr>
                    <w:t>(</w:t>
                  </w:r>
                  <w:r w:rsidRPr="007E335A">
                    <w:rPr>
                      <w:rFonts w:ascii="Cambria" w:hAnsi="Cambria" w:cs="Arial"/>
                      <w:i/>
                      <w:iCs/>
                      <w:color w:val="0070C0"/>
                      <w:sz w:val="16"/>
                      <w:szCs w:val="16"/>
                      <w:highlight w:val="yellow"/>
                    </w:rPr>
                    <w:t>Ingreso laboral gravado</w:t>
                  </w:r>
                  <w:r w:rsidRPr="007B44CF">
                    <w:rPr>
                      <w:rFonts w:ascii="Cambria" w:hAnsi="Cambria" w:cs="Arial"/>
                      <w:i/>
                      <w:iCs/>
                      <w:color w:val="0070C0"/>
                      <w:sz w:val="16"/>
                      <w:szCs w:val="16"/>
                    </w:rPr>
                    <w:t xml:space="preserve"> </w:t>
                  </w:r>
                  <w:r w:rsidRPr="007E335A">
                    <w:rPr>
                      <w:rFonts w:ascii="Cambria" w:hAnsi="Cambria" w:cs="Arial"/>
                      <w:i/>
                      <w:iCs/>
                      <w:color w:val="0070C0"/>
                      <w:sz w:val="16"/>
                      <w:szCs w:val="16"/>
                      <w:highlight w:val="yellow"/>
                    </w:rPr>
                    <w:t>expresado</w:t>
                  </w:r>
                  <w:r w:rsidRPr="007B44CF">
                    <w:rPr>
                      <w:rFonts w:ascii="Cambria" w:hAnsi="Cambria" w:cs="Arial"/>
                      <w:i/>
                      <w:iCs/>
                      <w:color w:val="0070C0"/>
                      <w:sz w:val="16"/>
                      <w:szCs w:val="16"/>
                    </w:rPr>
                    <w:t xml:space="preserve"> en UVT menos 95 UVT) x 19%</w:t>
                  </w:r>
                </w:p>
                <w:p w14:paraId="621F46DE" w14:textId="77777777" w:rsidR="009A5EB0" w:rsidRPr="007B44CF" w:rsidRDefault="009A5EB0" w:rsidP="009A5EB0">
                  <w:pPr>
                    <w:rPr>
                      <w:rFonts w:ascii="Cambria" w:eastAsia="Times New Roman" w:hAnsi="Cambria" w:cstheme="minorHAnsi"/>
                      <w:i/>
                      <w:iCs/>
                      <w:color w:val="0070C0"/>
                      <w:sz w:val="16"/>
                      <w:szCs w:val="16"/>
                      <w:lang w:eastAsia="es-CO"/>
                    </w:rPr>
                  </w:pPr>
                </w:p>
              </w:tc>
            </w:tr>
            <w:tr w:rsidR="007B44CF" w:rsidRPr="007B44CF" w14:paraId="4172E210" w14:textId="77777777" w:rsidTr="00805894">
              <w:tc>
                <w:tcPr>
                  <w:tcW w:w="1019" w:type="dxa"/>
                </w:tcPr>
                <w:p w14:paraId="2FD81A57"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&gt;150</w:t>
                  </w:r>
                </w:p>
              </w:tc>
              <w:tc>
                <w:tcPr>
                  <w:tcW w:w="1019" w:type="dxa"/>
                </w:tcPr>
                <w:p w14:paraId="10774B8F"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360</w:t>
                  </w:r>
                </w:p>
              </w:tc>
              <w:tc>
                <w:tcPr>
                  <w:tcW w:w="1020" w:type="dxa"/>
                </w:tcPr>
                <w:p w14:paraId="4B9A5928"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28%</w:t>
                  </w:r>
                </w:p>
              </w:tc>
              <w:tc>
                <w:tcPr>
                  <w:tcW w:w="1147" w:type="dxa"/>
                  <w:vAlign w:val="center"/>
                </w:tcPr>
                <w:p w14:paraId="7B5B33D0" w14:textId="77777777" w:rsidR="009A5EB0" w:rsidRPr="007B44CF" w:rsidRDefault="009A5EB0" w:rsidP="009A5EB0">
                  <w:pPr>
                    <w:rPr>
                      <w:rFonts w:ascii="Cambria" w:hAnsi="Cambria" w:cs="Arial"/>
                      <w:i/>
                      <w:iCs/>
                      <w:color w:val="0070C0"/>
                      <w:sz w:val="16"/>
                      <w:szCs w:val="16"/>
                    </w:rPr>
                  </w:pPr>
                  <w:r w:rsidRPr="007E335A">
                    <w:rPr>
                      <w:rFonts w:ascii="Cambria" w:hAnsi="Cambria" w:cs="Arial"/>
                      <w:i/>
                      <w:iCs/>
                      <w:color w:val="0070C0"/>
                      <w:sz w:val="16"/>
                      <w:szCs w:val="16"/>
                      <w:highlight w:val="yellow"/>
                    </w:rPr>
                    <w:t>(Ingreso laboral gravado</w:t>
                  </w:r>
                  <w:r w:rsidRPr="007B44CF">
                    <w:rPr>
                      <w:rFonts w:ascii="Cambria" w:hAnsi="Cambria" w:cs="Arial"/>
                      <w:i/>
                      <w:iCs/>
                      <w:color w:val="0070C0"/>
                      <w:sz w:val="16"/>
                      <w:szCs w:val="16"/>
                    </w:rPr>
                    <w:t xml:space="preserve"> </w:t>
                  </w:r>
                  <w:r w:rsidRPr="007E335A">
                    <w:rPr>
                      <w:rFonts w:ascii="Cambria" w:hAnsi="Cambria" w:cs="Arial"/>
                      <w:i/>
                      <w:iCs/>
                      <w:color w:val="0070C0"/>
                      <w:sz w:val="16"/>
                      <w:szCs w:val="16"/>
                      <w:highlight w:val="yellow"/>
                    </w:rPr>
                    <w:t>expresado</w:t>
                  </w:r>
                  <w:r w:rsidRPr="007B44CF">
                    <w:rPr>
                      <w:rFonts w:ascii="Cambria" w:hAnsi="Cambria" w:cs="Arial"/>
                      <w:i/>
                      <w:iCs/>
                      <w:color w:val="0070C0"/>
                      <w:sz w:val="16"/>
                      <w:szCs w:val="16"/>
                    </w:rPr>
                    <w:t xml:space="preserve"> en UVT menos 150 UVT) x </w:t>
                  </w:r>
                  <w:r w:rsidRPr="007E335A">
                    <w:rPr>
                      <w:rFonts w:ascii="Cambria" w:hAnsi="Cambria" w:cs="Arial"/>
                      <w:i/>
                      <w:iCs/>
                      <w:color w:val="0070C0"/>
                      <w:sz w:val="16"/>
                      <w:szCs w:val="16"/>
                      <w:highlight w:val="yellow"/>
                    </w:rPr>
                    <w:t>28%</w:t>
                  </w:r>
                  <w:r w:rsidRPr="007B44CF">
                    <w:rPr>
                      <w:rFonts w:ascii="Cambria" w:hAnsi="Cambria" w:cs="Arial"/>
                      <w:i/>
                      <w:iCs/>
                      <w:color w:val="0070C0"/>
                      <w:sz w:val="16"/>
                      <w:szCs w:val="16"/>
                    </w:rPr>
                    <w:t xml:space="preserve"> más 10 UVT</w:t>
                  </w:r>
                </w:p>
                <w:p w14:paraId="74DF9C0F" w14:textId="77777777" w:rsidR="009A5EB0" w:rsidRPr="007B44CF" w:rsidRDefault="009A5EB0" w:rsidP="009A5EB0">
                  <w:pPr>
                    <w:rPr>
                      <w:rFonts w:ascii="Cambria" w:eastAsia="Times New Roman" w:hAnsi="Cambria" w:cstheme="minorHAnsi"/>
                      <w:i/>
                      <w:iCs/>
                      <w:color w:val="0070C0"/>
                      <w:sz w:val="16"/>
                      <w:szCs w:val="16"/>
                      <w:lang w:eastAsia="es-CO"/>
                    </w:rPr>
                  </w:pPr>
                </w:p>
              </w:tc>
            </w:tr>
            <w:tr w:rsidR="007B44CF" w:rsidRPr="007B44CF" w14:paraId="73455188" w14:textId="77777777" w:rsidTr="00805894">
              <w:tc>
                <w:tcPr>
                  <w:tcW w:w="1019" w:type="dxa"/>
                </w:tcPr>
                <w:p w14:paraId="6F5747F7"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&gt;360</w:t>
                  </w:r>
                </w:p>
              </w:tc>
              <w:tc>
                <w:tcPr>
                  <w:tcW w:w="1019" w:type="dxa"/>
                </w:tcPr>
                <w:p w14:paraId="0270CBDD"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640</w:t>
                  </w:r>
                </w:p>
              </w:tc>
              <w:tc>
                <w:tcPr>
                  <w:tcW w:w="1020" w:type="dxa"/>
                </w:tcPr>
                <w:p w14:paraId="3C499DCD"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33%</w:t>
                  </w:r>
                </w:p>
              </w:tc>
              <w:tc>
                <w:tcPr>
                  <w:tcW w:w="1147" w:type="dxa"/>
                  <w:vAlign w:val="center"/>
                </w:tcPr>
                <w:p w14:paraId="6F378402" w14:textId="77777777" w:rsidR="009A5EB0" w:rsidRPr="007B44CF" w:rsidRDefault="009A5EB0" w:rsidP="009A5EB0">
                  <w:pPr>
                    <w:pStyle w:val="NormalWeb"/>
                    <w:spacing w:before="0" w:beforeAutospacing="0" w:after="0" w:afterAutospacing="0"/>
                    <w:rPr>
                      <w:rFonts w:ascii="Cambria" w:hAnsi="Cambria" w:cs="Arial"/>
                      <w:i/>
                      <w:iCs/>
                      <w:color w:val="0070C0"/>
                      <w:sz w:val="16"/>
                      <w:szCs w:val="16"/>
                    </w:rPr>
                  </w:pPr>
                  <w:r w:rsidRPr="007E335A">
                    <w:rPr>
                      <w:rFonts w:ascii="Cambria" w:hAnsi="Cambria" w:cs="Arial"/>
                      <w:i/>
                      <w:iCs/>
                      <w:color w:val="0070C0"/>
                      <w:sz w:val="16"/>
                      <w:szCs w:val="16"/>
                      <w:highlight w:val="yellow"/>
                    </w:rPr>
                    <w:t>(Ingreso laboral gravado expresado</w:t>
                  </w:r>
                  <w:r w:rsidRPr="007B44CF">
                    <w:rPr>
                      <w:rFonts w:ascii="Cambria" w:hAnsi="Cambria" w:cs="Arial"/>
                      <w:i/>
                      <w:iCs/>
                      <w:color w:val="0070C0"/>
                      <w:sz w:val="16"/>
                      <w:szCs w:val="16"/>
                    </w:rPr>
                    <w:t xml:space="preserve"> en UVT menos </w:t>
                  </w:r>
                  <w:r w:rsidRPr="007E335A">
                    <w:rPr>
                      <w:rFonts w:ascii="Cambria" w:hAnsi="Cambria" w:cs="Arial"/>
                      <w:i/>
                      <w:iCs/>
                      <w:color w:val="0070C0"/>
                      <w:sz w:val="16"/>
                      <w:szCs w:val="16"/>
                    </w:rPr>
                    <w:t xml:space="preserve">360 </w:t>
                  </w:r>
                  <w:r w:rsidRPr="007B44CF">
                    <w:rPr>
                      <w:rFonts w:ascii="Cambria" w:hAnsi="Cambria" w:cs="Arial"/>
                      <w:i/>
                      <w:iCs/>
                      <w:color w:val="0070C0"/>
                      <w:sz w:val="16"/>
                      <w:szCs w:val="16"/>
                    </w:rPr>
                    <w:t xml:space="preserve">UVT) x </w:t>
                  </w:r>
                  <w:r w:rsidRPr="007E335A">
                    <w:rPr>
                      <w:rFonts w:ascii="Cambria" w:hAnsi="Cambria" w:cs="Arial"/>
                      <w:i/>
                      <w:iCs/>
                      <w:color w:val="0070C0"/>
                      <w:sz w:val="16"/>
                      <w:szCs w:val="16"/>
                      <w:highlight w:val="yellow"/>
                    </w:rPr>
                    <w:t>33%</w:t>
                  </w:r>
                  <w:r w:rsidRPr="007B44CF">
                    <w:rPr>
                      <w:rFonts w:ascii="Cambria" w:hAnsi="Cambria" w:cs="Arial"/>
                      <w:i/>
                      <w:iCs/>
                      <w:color w:val="0070C0"/>
                      <w:sz w:val="16"/>
                      <w:szCs w:val="16"/>
                    </w:rPr>
                    <w:t xml:space="preserve"> más </w:t>
                  </w:r>
                  <w:r w:rsidRPr="007E335A">
                    <w:rPr>
                      <w:rFonts w:ascii="Cambria" w:hAnsi="Cambria" w:cs="Arial"/>
                      <w:i/>
                      <w:iCs/>
                      <w:color w:val="0070C0"/>
                      <w:sz w:val="16"/>
                      <w:szCs w:val="16"/>
                      <w:highlight w:val="yellow"/>
                    </w:rPr>
                    <w:t>69</w:t>
                  </w:r>
                  <w:r w:rsidRPr="007B44CF">
                    <w:rPr>
                      <w:rFonts w:ascii="Cambria" w:hAnsi="Cambria" w:cs="Arial"/>
                      <w:i/>
                      <w:iCs/>
                      <w:color w:val="0070C0"/>
                      <w:sz w:val="16"/>
                      <w:szCs w:val="16"/>
                    </w:rPr>
                    <w:t xml:space="preserve"> UVT</w:t>
                  </w:r>
                </w:p>
                <w:p w14:paraId="3FD03CF5"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p w14:paraId="32BF62FD"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tc>
            </w:tr>
            <w:tr w:rsidR="007B44CF" w:rsidRPr="007B44CF" w14:paraId="4243905C" w14:textId="77777777" w:rsidTr="00805894">
              <w:tc>
                <w:tcPr>
                  <w:tcW w:w="1019" w:type="dxa"/>
                </w:tcPr>
                <w:p w14:paraId="4555D581"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&gt;640</w:t>
                  </w:r>
                </w:p>
              </w:tc>
              <w:tc>
                <w:tcPr>
                  <w:tcW w:w="1019" w:type="dxa"/>
                </w:tcPr>
                <w:p w14:paraId="08EC7C86"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945</w:t>
                  </w:r>
                </w:p>
              </w:tc>
              <w:tc>
                <w:tcPr>
                  <w:tcW w:w="1020" w:type="dxa"/>
                </w:tcPr>
                <w:p w14:paraId="7371DF2B"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35%</w:t>
                  </w:r>
                </w:p>
              </w:tc>
              <w:tc>
                <w:tcPr>
                  <w:tcW w:w="1147" w:type="dxa"/>
                  <w:vAlign w:val="center"/>
                </w:tcPr>
                <w:p w14:paraId="728B6130" w14:textId="77777777" w:rsidR="009A5EB0" w:rsidRPr="007B44CF"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Pr="007E335A">
                    <w:rPr>
                      <w:rFonts w:ascii="Cambria" w:hAnsi="Cambria" w:cs="Arial"/>
                      <w:i/>
                      <w:iCs/>
                      <w:color w:val="0070C0"/>
                      <w:sz w:val="16"/>
                      <w:szCs w:val="16"/>
                      <w:highlight w:val="yellow"/>
                    </w:rPr>
                    <w:t>Ingreso laboral gravado expresado</w:t>
                  </w:r>
                  <w:r w:rsidRPr="007B44CF">
                    <w:rPr>
                      <w:rFonts w:ascii="Cambria" w:hAnsi="Cambria" w:cs="Arial"/>
                      <w:i/>
                      <w:iCs/>
                      <w:color w:val="0070C0"/>
                      <w:sz w:val="16"/>
                      <w:szCs w:val="16"/>
                    </w:rPr>
                    <w:t xml:space="preserve"> en UVT menos 640 UVT) x </w:t>
                  </w:r>
                  <w:r w:rsidRPr="007E335A">
                    <w:rPr>
                      <w:rFonts w:ascii="Cambria" w:hAnsi="Cambria" w:cs="Arial"/>
                      <w:i/>
                      <w:iCs/>
                      <w:color w:val="0070C0"/>
                      <w:sz w:val="16"/>
                      <w:szCs w:val="16"/>
                      <w:highlight w:val="yellow"/>
                    </w:rPr>
                    <w:t>35%</w:t>
                  </w:r>
                  <w:r w:rsidRPr="007B44CF">
                    <w:rPr>
                      <w:rFonts w:ascii="Cambria" w:hAnsi="Cambria" w:cs="Arial"/>
                      <w:i/>
                      <w:iCs/>
                      <w:color w:val="0070C0"/>
                      <w:sz w:val="16"/>
                      <w:szCs w:val="16"/>
                    </w:rPr>
                    <w:t xml:space="preserve"> más </w:t>
                  </w:r>
                  <w:r w:rsidRPr="007E335A">
                    <w:rPr>
                      <w:rFonts w:ascii="Cambria" w:hAnsi="Cambria" w:cs="Arial"/>
                      <w:i/>
                      <w:iCs/>
                      <w:color w:val="0070C0"/>
                      <w:sz w:val="16"/>
                      <w:szCs w:val="16"/>
                      <w:highlight w:val="yellow"/>
                    </w:rPr>
                    <w:t>162</w:t>
                  </w:r>
                  <w:r w:rsidRPr="007B44CF">
                    <w:rPr>
                      <w:rFonts w:ascii="Cambria" w:hAnsi="Cambria" w:cs="Arial"/>
                      <w:i/>
                      <w:iCs/>
                      <w:color w:val="0070C0"/>
                      <w:sz w:val="16"/>
                      <w:szCs w:val="16"/>
                    </w:rPr>
                    <w:t xml:space="preserve"> UVT</w:t>
                  </w:r>
                </w:p>
                <w:p w14:paraId="681C7648" w14:textId="77777777" w:rsidR="009A5EB0" w:rsidRPr="007B44CF" w:rsidRDefault="009A5EB0" w:rsidP="009A5EB0">
                  <w:pPr>
                    <w:pStyle w:val="NormalWeb"/>
                    <w:spacing w:before="0" w:beforeAutospacing="0" w:after="0" w:afterAutospacing="0"/>
                    <w:rPr>
                      <w:rFonts w:ascii="Cambria" w:hAnsi="Cambria" w:cs="Arial"/>
                      <w:i/>
                      <w:iCs/>
                      <w:color w:val="0070C0"/>
                      <w:sz w:val="16"/>
                      <w:szCs w:val="16"/>
                    </w:rPr>
                  </w:pPr>
                </w:p>
                <w:p w14:paraId="26F28E23"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tc>
            </w:tr>
            <w:tr w:rsidR="007B44CF" w:rsidRPr="007B44CF" w14:paraId="385DF5F1" w14:textId="77777777" w:rsidTr="007E335A">
              <w:trPr>
                <w:trHeight w:val="2376"/>
              </w:trPr>
              <w:tc>
                <w:tcPr>
                  <w:tcW w:w="1019" w:type="dxa"/>
                </w:tcPr>
                <w:p w14:paraId="3505E361"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&gt;945</w:t>
                  </w:r>
                </w:p>
              </w:tc>
              <w:tc>
                <w:tcPr>
                  <w:tcW w:w="1019" w:type="dxa"/>
                </w:tcPr>
                <w:p w14:paraId="3DF0BE6E"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2300</w:t>
                  </w:r>
                </w:p>
              </w:tc>
              <w:tc>
                <w:tcPr>
                  <w:tcW w:w="1020" w:type="dxa"/>
                </w:tcPr>
                <w:p w14:paraId="57C652A8"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37%</w:t>
                  </w:r>
                </w:p>
              </w:tc>
              <w:tc>
                <w:tcPr>
                  <w:tcW w:w="1147" w:type="dxa"/>
                </w:tcPr>
                <w:p w14:paraId="6E5DE8EB" w14:textId="77777777" w:rsidR="009A5EB0" w:rsidRPr="007B44CF"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Pr="007E335A">
                    <w:rPr>
                      <w:rFonts w:ascii="Cambria" w:hAnsi="Cambria" w:cs="Arial"/>
                      <w:i/>
                      <w:iCs/>
                      <w:color w:val="0070C0"/>
                      <w:sz w:val="16"/>
                      <w:szCs w:val="16"/>
                      <w:highlight w:val="yellow"/>
                    </w:rPr>
                    <w:t>Ingreso laboral gravado expresado</w:t>
                  </w:r>
                  <w:r w:rsidRPr="007B44CF">
                    <w:rPr>
                      <w:rFonts w:ascii="Cambria" w:hAnsi="Cambria" w:cs="Arial"/>
                      <w:i/>
                      <w:iCs/>
                      <w:color w:val="0070C0"/>
                      <w:sz w:val="16"/>
                      <w:szCs w:val="16"/>
                    </w:rPr>
                    <w:t xml:space="preserve"> en UVT menos 945 UVT) x </w:t>
                  </w:r>
                  <w:r w:rsidRPr="007E335A">
                    <w:rPr>
                      <w:rFonts w:ascii="Cambria" w:hAnsi="Cambria" w:cs="Arial"/>
                      <w:i/>
                      <w:iCs/>
                      <w:color w:val="0070C0"/>
                      <w:sz w:val="16"/>
                      <w:szCs w:val="16"/>
                      <w:highlight w:val="yellow"/>
                    </w:rPr>
                    <w:t>37%</w:t>
                  </w:r>
                  <w:r w:rsidRPr="007B44CF">
                    <w:rPr>
                      <w:rFonts w:ascii="Cambria" w:hAnsi="Cambria" w:cs="Arial"/>
                      <w:i/>
                      <w:iCs/>
                      <w:color w:val="0070C0"/>
                      <w:sz w:val="16"/>
                      <w:szCs w:val="16"/>
                    </w:rPr>
                    <w:t xml:space="preserve"> más </w:t>
                  </w:r>
                  <w:r w:rsidRPr="007E335A">
                    <w:rPr>
                      <w:rFonts w:ascii="Cambria" w:hAnsi="Cambria" w:cs="Arial"/>
                      <w:i/>
                      <w:iCs/>
                      <w:color w:val="0070C0"/>
                      <w:sz w:val="16"/>
                      <w:szCs w:val="16"/>
                      <w:highlight w:val="yellow"/>
                    </w:rPr>
                    <w:t>268</w:t>
                  </w:r>
                  <w:r w:rsidRPr="007B44CF">
                    <w:rPr>
                      <w:rFonts w:ascii="Cambria" w:hAnsi="Cambria" w:cs="Arial"/>
                      <w:i/>
                      <w:iCs/>
                      <w:color w:val="0070C0"/>
                      <w:sz w:val="16"/>
                      <w:szCs w:val="16"/>
                    </w:rPr>
                    <w:t xml:space="preserve"> UVT</w:t>
                  </w:r>
                </w:p>
                <w:p w14:paraId="23BD832C"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tc>
            </w:tr>
            <w:tr w:rsidR="007B44CF" w:rsidRPr="007B44CF" w14:paraId="68A537EB" w14:textId="77777777" w:rsidTr="00805894">
              <w:trPr>
                <w:trHeight w:val="194"/>
              </w:trPr>
              <w:tc>
                <w:tcPr>
                  <w:tcW w:w="1019" w:type="dxa"/>
                </w:tcPr>
                <w:p w14:paraId="07B0F8EB" w14:textId="77777777" w:rsidR="009A5EB0" w:rsidRPr="007B44CF" w:rsidRDefault="009A5EB0" w:rsidP="009A5EB0">
                  <w:pPr>
                    <w:pStyle w:val="NormalWeb"/>
                    <w:spacing w:before="0" w:beforeAutospacing="0" w:after="0" w:afterAutospacing="0"/>
                    <w:jc w:val="center"/>
                    <w:rPr>
                      <w:rFonts w:ascii="Cambria" w:hAnsi="Cambria" w:cs="Arial"/>
                      <w:i/>
                      <w:iCs/>
                      <w:color w:val="0070C0"/>
                      <w:sz w:val="16"/>
                      <w:szCs w:val="16"/>
                    </w:rPr>
                  </w:pPr>
                  <w:r w:rsidRPr="007B44CF">
                    <w:rPr>
                      <w:rFonts w:ascii="Cambria" w:hAnsi="Cambria" w:cs="Arial"/>
                      <w:i/>
                      <w:iCs/>
                      <w:color w:val="0070C0"/>
                      <w:sz w:val="16"/>
                      <w:szCs w:val="16"/>
                    </w:rPr>
                    <w:t>&gt;2300</w:t>
                  </w:r>
                </w:p>
              </w:tc>
              <w:tc>
                <w:tcPr>
                  <w:tcW w:w="1019" w:type="dxa"/>
                </w:tcPr>
                <w:p w14:paraId="2B4A0519" w14:textId="77777777" w:rsidR="009A5EB0" w:rsidRPr="007B44CF" w:rsidRDefault="009A5EB0" w:rsidP="009A5EB0">
                  <w:pPr>
                    <w:pStyle w:val="NormalWeb"/>
                    <w:spacing w:before="0" w:beforeAutospacing="0" w:after="0" w:afterAutospacing="0"/>
                    <w:jc w:val="center"/>
                    <w:rPr>
                      <w:rFonts w:ascii="Cambria" w:hAnsi="Cambria" w:cs="Arial"/>
                      <w:i/>
                      <w:iCs/>
                      <w:color w:val="0070C0"/>
                      <w:sz w:val="16"/>
                      <w:szCs w:val="16"/>
                    </w:rPr>
                  </w:pPr>
                  <w:r w:rsidRPr="007B44CF">
                    <w:rPr>
                      <w:rFonts w:ascii="Cambria" w:hAnsi="Cambria" w:cs="Arial"/>
                      <w:i/>
                      <w:iCs/>
                      <w:color w:val="0070C0"/>
                      <w:sz w:val="16"/>
                      <w:szCs w:val="16"/>
                    </w:rPr>
                    <w:t>En adelante</w:t>
                  </w:r>
                </w:p>
              </w:tc>
              <w:tc>
                <w:tcPr>
                  <w:tcW w:w="1020" w:type="dxa"/>
                </w:tcPr>
                <w:p w14:paraId="51B24CA0" w14:textId="77777777" w:rsidR="009A5EB0" w:rsidRPr="000F0A0E" w:rsidRDefault="009A5EB0" w:rsidP="009A5EB0">
                  <w:pPr>
                    <w:pStyle w:val="NormalWeb"/>
                    <w:spacing w:before="0" w:beforeAutospacing="0" w:after="0" w:afterAutospacing="0"/>
                    <w:jc w:val="center"/>
                    <w:rPr>
                      <w:rFonts w:ascii="Cambria" w:hAnsi="Cambria" w:cs="Arial"/>
                      <w:b/>
                      <w:bCs/>
                      <w:i/>
                      <w:iCs/>
                      <w:color w:val="0070C0"/>
                      <w:sz w:val="16"/>
                      <w:szCs w:val="16"/>
                      <w:u w:val="single"/>
                    </w:rPr>
                  </w:pPr>
                  <w:r w:rsidRPr="000F0A0E">
                    <w:rPr>
                      <w:rFonts w:ascii="Cambria" w:hAnsi="Cambria" w:cs="Arial"/>
                      <w:b/>
                      <w:bCs/>
                      <w:i/>
                      <w:iCs/>
                      <w:color w:val="0070C0"/>
                      <w:sz w:val="16"/>
                      <w:szCs w:val="16"/>
                      <w:highlight w:val="yellow"/>
                      <w:u w:val="single"/>
                    </w:rPr>
                    <w:t>39%</w:t>
                  </w:r>
                </w:p>
              </w:tc>
              <w:tc>
                <w:tcPr>
                  <w:tcW w:w="1147" w:type="dxa"/>
                  <w:vAlign w:val="center"/>
                </w:tcPr>
                <w:p w14:paraId="403266F9" w14:textId="77777777" w:rsidR="009A5EB0" w:rsidRPr="007B44CF"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Pr="007E335A">
                    <w:rPr>
                      <w:rFonts w:ascii="Cambria" w:hAnsi="Cambria" w:cs="Arial"/>
                      <w:i/>
                      <w:iCs/>
                      <w:color w:val="0070C0"/>
                      <w:sz w:val="16"/>
                      <w:szCs w:val="16"/>
                      <w:highlight w:val="yellow"/>
                    </w:rPr>
                    <w:t>Ingreso laboral gravado expresado</w:t>
                  </w:r>
                  <w:r w:rsidRPr="007B44CF">
                    <w:rPr>
                      <w:rFonts w:ascii="Cambria" w:hAnsi="Cambria" w:cs="Arial"/>
                      <w:i/>
                      <w:iCs/>
                      <w:color w:val="0070C0"/>
                      <w:sz w:val="16"/>
                      <w:szCs w:val="16"/>
                    </w:rPr>
                    <w:t xml:space="preserve"> en UVT menos 2300 UVT) x </w:t>
                  </w:r>
                  <w:r w:rsidRPr="000F0A0E">
                    <w:rPr>
                      <w:rFonts w:ascii="Cambria" w:hAnsi="Cambria" w:cs="Arial"/>
                      <w:b/>
                      <w:bCs/>
                      <w:i/>
                      <w:iCs/>
                      <w:color w:val="0070C0"/>
                      <w:sz w:val="16"/>
                      <w:szCs w:val="16"/>
                      <w:highlight w:val="yellow"/>
                      <w:u w:val="single"/>
                    </w:rPr>
                    <w:t>39%</w:t>
                  </w:r>
                  <w:r w:rsidRPr="007B44CF">
                    <w:rPr>
                      <w:rFonts w:ascii="Cambria" w:hAnsi="Cambria" w:cs="Arial"/>
                      <w:i/>
                      <w:iCs/>
                      <w:color w:val="0070C0"/>
                      <w:sz w:val="16"/>
                      <w:szCs w:val="16"/>
                    </w:rPr>
                    <w:t xml:space="preserve"> más </w:t>
                  </w:r>
                  <w:r w:rsidRPr="007E335A">
                    <w:rPr>
                      <w:rFonts w:ascii="Cambria" w:hAnsi="Cambria" w:cs="Arial"/>
                      <w:i/>
                      <w:iCs/>
                      <w:color w:val="0070C0"/>
                      <w:sz w:val="16"/>
                      <w:szCs w:val="16"/>
                      <w:highlight w:val="yellow"/>
                    </w:rPr>
                    <w:t>770</w:t>
                  </w:r>
                  <w:r w:rsidRPr="007B44CF">
                    <w:rPr>
                      <w:rFonts w:ascii="Cambria" w:hAnsi="Cambria" w:cs="Arial"/>
                      <w:i/>
                      <w:iCs/>
                      <w:color w:val="0070C0"/>
                      <w:sz w:val="16"/>
                      <w:szCs w:val="16"/>
                    </w:rPr>
                    <w:t xml:space="preserve"> UVT</w:t>
                  </w:r>
                </w:p>
              </w:tc>
            </w:tr>
          </w:tbl>
          <w:p w14:paraId="255F2DEE"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4F71CB17"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3739A3E7" w14:textId="3B094128" w:rsidR="009A5EB0" w:rsidRPr="000F0A0E" w:rsidRDefault="009A5EB0" w:rsidP="009A5EB0">
            <w:pPr>
              <w:jc w:val="both"/>
              <w:rPr>
                <w:rFonts w:ascii="Cambria" w:eastAsia="Times New Roman" w:hAnsi="Cambria" w:cstheme="minorHAnsi"/>
                <w:b/>
                <w:bCs/>
                <w:i/>
                <w:iCs/>
                <w:color w:val="0070C0"/>
                <w:sz w:val="16"/>
                <w:szCs w:val="16"/>
                <w:u w:val="single"/>
                <w:lang w:eastAsia="es-CO"/>
              </w:rPr>
            </w:pPr>
            <w:r w:rsidRPr="007B44CF">
              <w:rPr>
                <w:rFonts w:ascii="Cambria" w:eastAsia="Times New Roman" w:hAnsi="Cambria" w:cstheme="minorHAnsi"/>
                <w:i/>
                <w:iCs/>
                <w:color w:val="0070C0"/>
                <w:sz w:val="16"/>
                <w:szCs w:val="16"/>
                <w:lang w:eastAsia="es-CO"/>
              </w:rPr>
              <w:t xml:space="preserve">PARÁGRAFO 1. </w:t>
            </w:r>
            <w:r w:rsidRPr="000F0A0E">
              <w:rPr>
                <w:rFonts w:ascii="Cambria" w:eastAsia="Times New Roman" w:hAnsi="Cambria" w:cstheme="minorHAnsi"/>
                <w:b/>
                <w:bCs/>
                <w:i/>
                <w:iCs/>
                <w:color w:val="0070C0"/>
                <w:sz w:val="16"/>
                <w:szCs w:val="16"/>
                <w:highlight w:val="yellow"/>
                <w:u w:val="single"/>
                <w:lang w:eastAsia="es-CO"/>
              </w:rPr>
              <w:t>Para efectos de la aplicación del Procedimiento 2 a que se refiere el artículo 386 de este Estatuto, el valor del impuesto en UVT determinado de conformidad con la tabla incluida en este artículo, se divide por el ingreso laboral total gravado convertido a UVT, con lo cual se obtiene la tarifa de retención aplicable al ingreso mensual.</w:t>
            </w:r>
          </w:p>
          <w:p w14:paraId="682B32E0"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09C786E6"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468EDF06" w14:textId="77777777"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lastRenderedPageBreak/>
              <w:t>PARÁGRAFO 2. La retención en la fuente establecida en el presente artículo será aplicable a los pagos o abonos en cuenta por concepto de rentas de trabajo que no provengan de una relación laboral o legal y reglamentaria. </w:t>
            </w:r>
          </w:p>
          <w:p w14:paraId="720ECF3B" w14:textId="77777777" w:rsidR="009A5EB0" w:rsidRPr="007B44CF" w:rsidRDefault="009A5EB0" w:rsidP="009A5EB0">
            <w:pPr>
              <w:pStyle w:val="Default"/>
              <w:jc w:val="both"/>
              <w:rPr>
                <w:rFonts w:ascii="Cambria" w:eastAsia="Times New Roman" w:hAnsi="Cambria" w:cstheme="minorHAnsi"/>
                <w:i/>
                <w:iCs/>
                <w:color w:val="0070C0"/>
                <w:sz w:val="16"/>
                <w:szCs w:val="16"/>
                <w:lang w:val="es-ES_tradnl" w:eastAsia="es-CO"/>
              </w:rPr>
            </w:pPr>
          </w:p>
          <w:p w14:paraId="2B8BE39F" w14:textId="77777777"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t xml:space="preserve">La retención a la que se refiere este parágrafo se hará por "pagos mensualizados". Para ello se tomará el monto total del valor del contrato menos los respectivos aportes obligatorios a salud y pensiones, y se dividirá por el número de meses de vigencia del mismo. Ese valor mensual corresponde a la base de retención en la fuente que debe ubicarse en la tabla. En el caso en el cual los pagos correspondientes al contrato no sean efectuados mensualmente, el pagador deberá efectuar la retención en la fuente de acuerdo con el cálculo mencionado en este parágrafo, independientemente de la periodicidad pactada para los pagos del contrato; cuando realice el pago deberá retener el equivalente a la suma total de la retención mensualizada. </w:t>
            </w:r>
          </w:p>
          <w:p w14:paraId="30A813D1"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3B0D1696" w14:textId="77777777"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t xml:space="preserve">PARÁGRAFO 3. Las personas naturales podrán solicitar la aplicación de una tarifa de retención en la fuente superior a la determinada de conformidad con el presente artículo, para la cual deberá indicarla por escrito al respectivo pagador. El incremento en la tarifa de retención en la fuente será aplicable a partir del mes siguiente a la presentación de la solicitud. </w:t>
            </w:r>
          </w:p>
          <w:p w14:paraId="00285449"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26361531" w14:textId="77777777"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t>PARÁGRAFO 4. La retención en la fuente de que trata el presente artículo no será aplicable a los pagos recibidos por concepto de pensiones de jubilación, invalidez, vejez, de sobrevivientes y sobre riesgos laborales que correspondan a rentas exentas, en los términos del artículo 206 de este Estatuto.</w:t>
            </w:r>
          </w:p>
          <w:p w14:paraId="03D7B3C6" w14:textId="77777777" w:rsidR="009A5EB0" w:rsidRPr="007B44CF" w:rsidRDefault="009A5EB0" w:rsidP="009A5EB0">
            <w:pPr>
              <w:pStyle w:val="Default"/>
              <w:jc w:val="both"/>
              <w:rPr>
                <w:rFonts w:ascii="Cambria" w:eastAsia="Times New Roman" w:hAnsi="Cambria" w:cstheme="minorHAnsi"/>
                <w:i/>
                <w:iCs/>
                <w:color w:val="0070C0"/>
                <w:sz w:val="16"/>
                <w:szCs w:val="16"/>
                <w:lang w:val="es-ES_tradnl" w:eastAsia="es-CO"/>
              </w:rPr>
            </w:pPr>
          </w:p>
          <w:p w14:paraId="051872EC" w14:textId="77777777"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t>Parágrafo transitorio. La retención en la fuente de que trata el presente artículo se aplicará a partir del 1</w:t>
            </w:r>
            <w:r w:rsidRPr="007B44CF">
              <w:rPr>
                <w:rFonts w:ascii="Cambria" w:eastAsia="Times New Roman" w:hAnsi="Cambria" w:cstheme="minorHAnsi"/>
                <w:i/>
                <w:iCs/>
                <w:color w:val="0070C0"/>
                <w:sz w:val="16"/>
                <w:szCs w:val="16"/>
                <w:highlight w:val="yellow"/>
                <w:lang w:eastAsia="es-CO"/>
              </w:rPr>
              <w:t>° de marzo de 2017</w:t>
            </w:r>
            <w:r w:rsidRPr="007B44CF">
              <w:rPr>
                <w:rFonts w:ascii="Cambria" w:eastAsia="Times New Roman" w:hAnsi="Cambria" w:cstheme="minorHAnsi"/>
                <w:i/>
                <w:iCs/>
                <w:color w:val="0070C0"/>
                <w:sz w:val="16"/>
                <w:szCs w:val="16"/>
                <w:lang w:eastAsia="es-CO"/>
              </w:rPr>
              <w:t>; en el entre tanto se aplicará el sistema de retención aplicable antes de la entrada en vigencia de esta norma.</w:t>
            </w:r>
          </w:p>
          <w:p w14:paraId="200EC51A" w14:textId="77777777" w:rsidR="009A5EB0" w:rsidRPr="007B44CF" w:rsidRDefault="009A5EB0" w:rsidP="009A5EB0">
            <w:pPr>
              <w:jc w:val="both"/>
              <w:rPr>
                <w:rFonts w:ascii="Cambria" w:hAnsi="Cambria" w:cs="Arial"/>
                <w:i/>
                <w:iCs/>
                <w:color w:val="0070C0"/>
                <w:sz w:val="16"/>
                <w:szCs w:val="16"/>
              </w:rPr>
            </w:pPr>
          </w:p>
        </w:tc>
        <w:tc>
          <w:tcPr>
            <w:tcW w:w="4414" w:type="dxa"/>
          </w:tcPr>
          <w:p w14:paraId="2252FAC7" w14:textId="11D22863"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b/>
                <w:i/>
                <w:iCs/>
                <w:color w:val="0070C0"/>
                <w:sz w:val="16"/>
                <w:szCs w:val="16"/>
                <w:lang w:eastAsia="es-CO"/>
              </w:rPr>
              <w:lastRenderedPageBreak/>
              <w:t xml:space="preserve">Articulo 383. Tarifa </w:t>
            </w:r>
            <w:r w:rsidRPr="007B44CF">
              <w:rPr>
                <w:rFonts w:ascii="Cambria" w:hAnsi="Cambria"/>
                <w:b/>
                <w:i/>
                <w:iCs/>
                <w:color w:val="0070C0"/>
                <w:sz w:val="16"/>
                <w:szCs w:val="16"/>
              </w:rPr>
              <w:t>(</w:t>
            </w:r>
            <w:r w:rsidRPr="001B4295">
              <w:rPr>
                <w:rFonts w:ascii="Cambria" w:hAnsi="Cambria"/>
                <w:b/>
                <w:i/>
                <w:iCs/>
                <w:color w:val="FF0000"/>
                <w:sz w:val="16"/>
                <w:szCs w:val="16"/>
              </w:rPr>
              <w:t>se modificaría con artículo 2</w:t>
            </w:r>
            <w:r w:rsidR="004E5AAE" w:rsidRPr="001B4295">
              <w:rPr>
                <w:rFonts w:ascii="Cambria" w:hAnsi="Cambria"/>
                <w:b/>
                <w:i/>
                <w:iCs/>
                <w:color w:val="FF0000"/>
                <w:sz w:val="16"/>
                <w:szCs w:val="16"/>
              </w:rPr>
              <w:t>3</w:t>
            </w:r>
            <w:r w:rsidRPr="001B4295">
              <w:rPr>
                <w:rFonts w:ascii="Cambria" w:hAnsi="Cambria"/>
                <w:b/>
                <w:i/>
                <w:iCs/>
                <w:color w:val="FF0000"/>
                <w:sz w:val="16"/>
                <w:szCs w:val="16"/>
              </w:rPr>
              <w:t xml:space="preserve"> del proyecto de Ley</w:t>
            </w:r>
            <w:r w:rsidRPr="007B44CF">
              <w:rPr>
                <w:rFonts w:ascii="Cambria" w:hAnsi="Cambria"/>
                <w:b/>
                <w:i/>
                <w:iCs/>
                <w:color w:val="0070C0"/>
                <w:sz w:val="16"/>
                <w:szCs w:val="16"/>
              </w:rPr>
              <w:t xml:space="preserve">) </w:t>
            </w:r>
            <w:r w:rsidRPr="007B44CF">
              <w:rPr>
                <w:rFonts w:ascii="Cambria" w:eastAsia="Times New Roman" w:hAnsi="Cambria" w:cstheme="minorHAnsi"/>
                <w:i/>
                <w:iCs/>
                <w:color w:val="0070C0"/>
                <w:sz w:val="16"/>
                <w:szCs w:val="16"/>
                <w:lang w:eastAsia="es-CO"/>
              </w:rPr>
              <w:t xml:space="preserve">La retención en la fuente aplicable a los pagos gravables efectuados por las personas naturales </w:t>
            </w:r>
            <w:r w:rsidRPr="000F0A0E">
              <w:rPr>
                <w:rFonts w:ascii="Cambria" w:eastAsia="Times New Roman" w:hAnsi="Cambria" w:cstheme="minorHAnsi"/>
                <w:b/>
                <w:bCs/>
                <w:i/>
                <w:iCs/>
                <w:color w:val="0070C0"/>
                <w:sz w:val="16"/>
                <w:szCs w:val="16"/>
                <w:highlight w:val="yellow"/>
                <w:u w:val="single"/>
                <w:lang w:eastAsia="es-CO"/>
              </w:rPr>
              <w:t>agentes de retención</w:t>
            </w:r>
            <w:r w:rsidRPr="007B44CF">
              <w:rPr>
                <w:rFonts w:ascii="Cambria" w:eastAsia="Times New Roman" w:hAnsi="Cambria" w:cstheme="minorHAnsi"/>
                <w:i/>
                <w:iCs/>
                <w:color w:val="0070C0"/>
                <w:sz w:val="16"/>
                <w:szCs w:val="16"/>
                <w:lang w:eastAsia="es-CO"/>
              </w:rPr>
              <w:t xml:space="preserve"> o  jurídicas, las sociedades de hecho, las comunidades organizadas y las sucesiones ilíquidas, originados en la relación laboral, o legal y reglamentaria, y los pagos recibidos por concepto de pensiones de jubilación, invalidez, vejez, de sobrevivientes y sobre riesgos laborales, será la que resulte de aplicar a dichos pagos la siguiente tabla de retención en la fuente: </w:t>
            </w:r>
          </w:p>
          <w:p w14:paraId="646B6D92" w14:textId="77777777" w:rsidR="009A5EB0" w:rsidRPr="007B44CF" w:rsidRDefault="009A5EB0" w:rsidP="009A5EB0">
            <w:pPr>
              <w:rPr>
                <w:rFonts w:ascii="Cambria" w:eastAsia="Times New Roman" w:hAnsi="Cambria" w:cstheme="minorHAnsi"/>
                <w:i/>
                <w:iCs/>
                <w:color w:val="0070C0"/>
                <w:sz w:val="16"/>
                <w:szCs w:val="16"/>
                <w:lang w:eastAsia="es-CO"/>
              </w:rPr>
            </w:pPr>
          </w:p>
          <w:p w14:paraId="3C609EC3" w14:textId="77777777" w:rsidR="009A5EB0" w:rsidRPr="007B44CF" w:rsidRDefault="009A5EB0" w:rsidP="009A5EB0">
            <w:pPr>
              <w:pStyle w:val="NormalWeb"/>
              <w:spacing w:before="0" w:beforeAutospacing="0" w:after="0" w:afterAutospacing="0"/>
              <w:jc w:val="both"/>
              <w:rPr>
                <w:rFonts w:ascii="Cambria" w:hAnsi="Cambria" w:cstheme="minorHAnsi"/>
                <w:i/>
                <w:iCs/>
                <w:color w:val="0070C0"/>
                <w:sz w:val="16"/>
                <w:szCs w:val="16"/>
              </w:rPr>
            </w:pPr>
          </w:p>
          <w:tbl>
            <w:tblPr>
              <w:tblStyle w:val="Tablaconcuadrcula"/>
              <w:tblW w:w="0" w:type="auto"/>
              <w:tblLook w:val="04A0" w:firstRow="1" w:lastRow="0" w:firstColumn="1" w:lastColumn="0" w:noHBand="0" w:noVBand="1"/>
            </w:tblPr>
            <w:tblGrid>
              <w:gridCol w:w="1013"/>
              <w:gridCol w:w="1015"/>
              <w:gridCol w:w="1017"/>
              <w:gridCol w:w="1143"/>
            </w:tblGrid>
            <w:tr w:rsidR="007B44CF" w:rsidRPr="007B44CF" w14:paraId="20D5DE73" w14:textId="77777777" w:rsidTr="00805894">
              <w:tc>
                <w:tcPr>
                  <w:tcW w:w="2038" w:type="dxa"/>
                  <w:gridSpan w:val="2"/>
                  <w:vAlign w:val="center"/>
                </w:tcPr>
                <w:p w14:paraId="61B769B1"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 xml:space="preserve">Rangos en UVT </w:t>
                  </w:r>
                </w:p>
              </w:tc>
              <w:tc>
                <w:tcPr>
                  <w:tcW w:w="1020" w:type="dxa"/>
                  <w:vMerge w:val="restart"/>
                  <w:vAlign w:val="center"/>
                </w:tcPr>
                <w:p w14:paraId="545E96BF"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Tarifa marginal</w:t>
                  </w:r>
                </w:p>
              </w:tc>
              <w:tc>
                <w:tcPr>
                  <w:tcW w:w="1147" w:type="dxa"/>
                  <w:vMerge w:val="restart"/>
                  <w:vAlign w:val="center"/>
                </w:tcPr>
                <w:p w14:paraId="4BCA095C"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lang w:val="es-ES"/>
                    </w:rPr>
                  </w:pPr>
                  <w:r w:rsidRPr="007B44CF">
                    <w:rPr>
                      <w:rFonts w:ascii="Cambria" w:hAnsi="Cambria" w:cstheme="minorHAnsi"/>
                      <w:i/>
                      <w:iCs/>
                      <w:color w:val="0070C0"/>
                      <w:sz w:val="16"/>
                      <w:szCs w:val="16"/>
                    </w:rPr>
                    <w:t>Retención</w:t>
                  </w:r>
                  <w:r w:rsidRPr="007B44CF">
                    <w:rPr>
                      <w:rFonts w:ascii="Cambria" w:hAnsi="Cambria" w:cstheme="minorHAnsi"/>
                      <w:i/>
                      <w:iCs/>
                      <w:color w:val="0070C0"/>
                      <w:sz w:val="16"/>
                      <w:szCs w:val="16"/>
                      <w:lang w:val="es-ES"/>
                    </w:rPr>
                    <w:t xml:space="preserve"> en la fuente</w:t>
                  </w:r>
                </w:p>
              </w:tc>
            </w:tr>
            <w:tr w:rsidR="007B44CF" w:rsidRPr="007B44CF" w14:paraId="2E2AF24A" w14:textId="77777777" w:rsidTr="00805894">
              <w:trPr>
                <w:trHeight w:val="226"/>
              </w:trPr>
              <w:tc>
                <w:tcPr>
                  <w:tcW w:w="1019" w:type="dxa"/>
                </w:tcPr>
                <w:p w14:paraId="47C394F4"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Desde</w:t>
                  </w:r>
                </w:p>
              </w:tc>
              <w:tc>
                <w:tcPr>
                  <w:tcW w:w="1019" w:type="dxa"/>
                </w:tcPr>
                <w:p w14:paraId="353630CE"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Hasta</w:t>
                  </w:r>
                </w:p>
              </w:tc>
              <w:tc>
                <w:tcPr>
                  <w:tcW w:w="1020" w:type="dxa"/>
                  <w:vMerge/>
                </w:tcPr>
                <w:p w14:paraId="7AFB1258"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p>
              </w:tc>
              <w:tc>
                <w:tcPr>
                  <w:tcW w:w="1147" w:type="dxa"/>
                  <w:vMerge/>
                </w:tcPr>
                <w:p w14:paraId="0CFBAD10" w14:textId="77777777" w:rsidR="009A5EB0" w:rsidRPr="007B44CF" w:rsidRDefault="009A5EB0" w:rsidP="009A5EB0">
                  <w:pPr>
                    <w:jc w:val="center"/>
                    <w:rPr>
                      <w:rFonts w:ascii="Cambria" w:eastAsia="Times New Roman" w:hAnsi="Cambria" w:cstheme="minorHAnsi"/>
                      <w:i/>
                      <w:iCs/>
                      <w:color w:val="0070C0"/>
                      <w:sz w:val="16"/>
                      <w:szCs w:val="16"/>
                      <w:lang w:eastAsia="es-CO"/>
                    </w:rPr>
                  </w:pPr>
                </w:p>
              </w:tc>
            </w:tr>
            <w:tr w:rsidR="007B44CF" w:rsidRPr="007B44CF" w14:paraId="1D58A6FB" w14:textId="77777777" w:rsidTr="00805894">
              <w:trPr>
                <w:trHeight w:val="226"/>
              </w:trPr>
              <w:tc>
                <w:tcPr>
                  <w:tcW w:w="1019" w:type="dxa"/>
                  <w:vAlign w:val="center"/>
                </w:tcPr>
                <w:p w14:paraId="409DD28E"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&gt;0</w:t>
                  </w:r>
                </w:p>
              </w:tc>
              <w:tc>
                <w:tcPr>
                  <w:tcW w:w="1019" w:type="dxa"/>
                  <w:vAlign w:val="center"/>
                </w:tcPr>
                <w:p w14:paraId="01A36AFB"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95</w:t>
                  </w:r>
                </w:p>
              </w:tc>
              <w:tc>
                <w:tcPr>
                  <w:tcW w:w="1020" w:type="dxa"/>
                  <w:vAlign w:val="center"/>
                </w:tcPr>
                <w:p w14:paraId="754BC70B"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theme="minorHAnsi"/>
                      <w:i/>
                      <w:iCs/>
                      <w:color w:val="0070C0"/>
                      <w:sz w:val="16"/>
                      <w:szCs w:val="16"/>
                    </w:rPr>
                    <w:t>0%</w:t>
                  </w:r>
                </w:p>
              </w:tc>
              <w:tc>
                <w:tcPr>
                  <w:tcW w:w="1147" w:type="dxa"/>
                  <w:vAlign w:val="center"/>
                </w:tcPr>
                <w:p w14:paraId="771FE31C"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r w:rsidRPr="007B44CF">
                    <w:rPr>
                      <w:rFonts w:ascii="Cambria" w:hAnsi="Cambria" w:cstheme="minorHAnsi"/>
                      <w:i/>
                      <w:iCs/>
                      <w:color w:val="0070C0"/>
                      <w:sz w:val="16"/>
                      <w:szCs w:val="16"/>
                    </w:rPr>
                    <w:t>0</w:t>
                  </w:r>
                </w:p>
              </w:tc>
            </w:tr>
            <w:tr w:rsidR="007B44CF" w:rsidRPr="007B44CF" w14:paraId="77C7D095" w14:textId="77777777" w:rsidTr="00805894">
              <w:tc>
                <w:tcPr>
                  <w:tcW w:w="1019" w:type="dxa"/>
                </w:tcPr>
                <w:p w14:paraId="6D0A9DC2"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&gt;95</w:t>
                  </w:r>
                </w:p>
              </w:tc>
              <w:tc>
                <w:tcPr>
                  <w:tcW w:w="1019" w:type="dxa"/>
                </w:tcPr>
                <w:p w14:paraId="4B530C9E"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150</w:t>
                  </w:r>
                </w:p>
              </w:tc>
              <w:tc>
                <w:tcPr>
                  <w:tcW w:w="1020" w:type="dxa"/>
                </w:tcPr>
                <w:p w14:paraId="4C17EDE0"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19%</w:t>
                  </w:r>
                </w:p>
              </w:tc>
              <w:tc>
                <w:tcPr>
                  <w:tcW w:w="1147" w:type="dxa"/>
                  <w:vAlign w:val="center"/>
                </w:tcPr>
                <w:p w14:paraId="4D0D9A78" w14:textId="5E998B3D" w:rsidR="009A5EB0" w:rsidRDefault="009A5EB0" w:rsidP="009A5EB0">
                  <w:pPr>
                    <w:rPr>
                      <w:rFonts w:ascii="Cambria" w:hAnsi="Cambria" w:cs="Arial"/>
                      <w:i/>
                      <w:iCs/>
                      <w:color w:val="0070C0"/>
                      <w:sz w:val="16"/>
                      <w:szCs w:val="16"/>
                    </w:rPr>
                  </w:pPr>
                  <w:r w:rsidRPr="007B44CF">
                    <w:rPr>
                      <w:rFonts w:ascii="Cambria" w:hAnsi="Cambria" w:cs="Arial"/>
                      <w:i/>
                      <w:iCs/>
                      <w:color w:val="0070C0"/>
                      <w:sz w:val="16"/>
                      <w:szCs w:val="16"/>
                    </w:rPr>
                    <w:t>(</w:t>
                  </w:r>
                  <w:r w:rsidR="007E335A" w:rsidRPr="007E335A">
                    <w:rPr>
                      <w:rFonts w:ascii="Cambria" w:hAnsi="Cambria" w:cs="Arial"/>
                      <w:i/>
                      <w:iCs/>
                      <w:color w:val="0070C0"/>
                      <w:sz w:val="16"/>
                      <w:szCs w:val="16"/>
                      <w:highlight w:val="yellow"/>
                    </w:rPr>
                    <w:t>Base gravable</w:t>
                  </w:r>
                  <w:r w:rsidRPr="007B44CF">
                    <w:rPr>
                      <w:rFonts w:ascii="Cambria" w:hAnsi="Cambria" w:cs="Arial"/>
                      <w:i/>
                      <w:iCs/>
                      <w:color w:val="0070C0"/>
                      <w:sz w:val="16"/>
                      <w:szCs w:val="16"/>
                    </w:rPr>
                    <w:t xml:space="preserve"> en UVT menos 95 UVT) x 19%</w:t>
                  </w:r>
                </w:p>
                <w:p w14:paraId="30822431" w14:textId="77777777" w:rsidR="007E335A" w:rsidRDefault="007E335A" w:rsidP="009A5EB0">
                  <w:pPr>
                    <w:rPr>
                      <w:rFonts w:ascii="Cambria" w:hAnsi="Cambria" w:cs="Arial"/>
                      <w:i/>
                      <w:iCs/>
                      <w:color w:val="0070C0"/>
                      <w:sz w:val="16"/>
                      <w:szCs w:val="16"/>
                    </w:rPr>
                  </w:pPr>
                </w:p>
                <w:p w14:paraId="74309C87" w14:textId="77777777" w:rsidR="007E335A" w:rsidRPr="007B44CF" w:rsidRDefault="007E335A" w:rsidP="009A5EB0">
                  <w:pPr>
                    <w:rPr>
                      <w:rFonts w:ascii="Cambria" w:hAnsi="Cambria" w:cs="Arial"/>
                      <w:i/>
                      <w:iCs/>
                      <w:color w:val="0070C0"/>
                      <w:sz w:val="16"/>
                      <w:szCs w:val="16"/>
                    </w:rPr>
                  </w:pPr>
                </w:p>
                <w:p w14:paraId="1DEBBD3F" w14:textId="77777777" w:rsidR="009A5EB0" w:rsidRPr="007B44CF" w:rsidRDefault="009A5EB0" w:rsidP="009A5EB0">
                  <w:pPr>
                    <w:rPr>
                      <w:rFonts w:ascii="Cambria" w:eastAsia="Times New Roman" w:hAnsi="Cambria" w:cstheme="minorHAnsi"/>
                      <w:i/>
                      <w:iCs/>
                      <w:color w:val="0070C0"/>
                      <w:sz w:val="16"/>
                      <w:szCs w:val="16"/>
                      <w:lang w:eastAsia="es-CO"/>
                    </w:rPr>
                  </w:pPr>
                </w:p>
              </w:tc>
            </w:tr>
            <w:tr w:rsidR="007B44CF" w:rsidRPr="007B44CF" w14:paraId="35A2A449" w14:textId="77777777" w:rsidTr="00805894">
              <w:tc>
                <w:tcPr>
                  <w:tcW w:w="1019" w:type="dxa"/>
                </w:tcPr>
                <w:p w14:paraId="4799D4E5"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&gt;150</w:t>
                  </w:r>
                </w:p>
              </w:tc>
              <w:tc>
                <w:tcPr>
                  <w:tcW w:w="1019" w:type="dxa"/>
                </w:tcPr>
                <w:p w14:paraId="73893D44"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360</w:t>
                  </w:r>
                </w:p>
              </w:tc>
              <w:tc>
                <w:tcPr>
                  <w:tcW w:w="1020" w:type="dxa"/>
                </w:tcPr>
                <w:p w14:paraId="73003F01" w14:textId="5C3099B4"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2</w:t>
                  </w:r>
                  <w:r w:rsidR="007E335A" w:rsidRPr="007E335A">
                    <w:rPr>
                      <w:rFonts w:ascii="Cambria" w:hAnsi="Cambria" w:cs="Arial"/>
                      <w:i/>
                      <w:iCs/>
                      <w:color w:val="0070C0"/>
                      <w:sz w:val="16"/>
                      <w:szCs w:val="16"/>
                      <w:highlight w:val="yellow"/>
                    </w:rPr>
                    <w:t>9</w:t>
                  </w:r>
                  <w:r w:rsidRPr="007E335A">
                    <w:rPr>
                      <w:rFonts w:ascii="Cambria" w:hAnsi="Cambria" w:cs="Arial"/>
                      <w:i/>
                      <w:iCs/>
                      <w:color w:val="0070C0"/>
                      <w:sz w:val="16"/>
                      <w:szCs w:val="16"/>
                      <w:highlight w:val="yellow"/>
                    </w:rPr>
                    <w:t>%</w:t>
                  </w:r>
                </w:p>
              </w:tc>
              <w:tc>
                <w:tcPr>
                  <w:tcW w:w="1147" w:type="dxa"/>
                  <w:vAlign w:val="center"/>
                </w:tcPr>
                <w:p w14:paraId="6B7DF961" w14:textId="2D085CB0" w:rsidR="009A5EB0" w:rsidRDefault="009A5EB0" w:rsidP="009A5EB0">
                  <w:pPr>
                    <w:rPr>
                      <w:rFonts w:ascii="Cambria" w:hAnsi="Cambria" w:cs="Arial"/>
                      <w:i/>
                      <w:iCs/>
                      <w:color w:val="0070C0"/>
                      <w:sz w:val="16"/>
                      <w:szCs w:val="16"/>
                    </w:rPr>
                  </w:pPr>
                  <w:r w:rsidRPr="007B44CF">
                    <w:rPr>
                      <w:rFonts w:ascii="Cambria" w:hAnsi="Cambria" w:cs="Arial"/>
                      <w:i/>
                      <w:iCs/>
                      <w:color w:val="0070C0"/>
                      <w:sz w:val="16"/>
                      <w:szCs w:val="16"/>
                    </w:rPr>
                    <w:t>(</w:t>
                  </w:r>
                  <w:r w:rsidR="007E335A" w:rsidRPr="007E335A">
                    <w:rPr>
                      <w:rFonts w:ascii="Cambria" w:hAnsi="Cambria" w:cs="Arial"/>
                      <w:i/>
                      <w:iCs/>
                      <w:color w:val="0070C0"/>
                      <w:sz w:val="16"/>
                      <w:szCs w:val="16"/>
                      <w:highlight w:val="yellow"/>
                    </w:rPr>
                    <w:t>Base gravable</w:t>
                  </w:r>
                  <w:r w:rsidR="007E335A" w:rsidRPr="007B44CF">
                    <w:rPr>
                      <w:rFonts w:ascii="Cambria" w:hAnsi="Cambria" w:cs="Arial"/>
                      <w:i/>
                      <w:iCs/>
                      <w:color w:val="0070C0"/>
                      <w:sz w:val="16"/>
                      <w:szCs w:val="16"/>
                    </w:rPr>
                    <w:t xml:space="preserve"> </w:t>
                  </w:r>
                  <w:r w:rsidRPr="007B44CF">
                    <w:rPr>
                      <w:rFonts w:ascii="Cambria" w:hAnsi="Cambria" w:cs="Arial"/>
                      <w:i/>
                      <w:iCs/>
                      <w:color w:val="0070C0"/>
                      <w:sz w:val="16"/>
                      <w:szCs w:val="16"/>
                    </w:rPr>
                    <w:t xml:space="preserve">en UVT menos 150 UVT) x </w:t>
                  </w:r>
                  <w:r w:rsidRPr="007E335A">
                    <w:rPr>
                      <w:rFonts w:ascii="Cambria" w:hAnsi="Cambria" w:cs="Arial"/>
                      <w:i/>
                      <w:iCs/>
                      <w:color w:val="0070C0"/>
                      <w:sz w:val="16"/>
                      <w:szCs w:val="16"/>
                      <w:highlight w:val="yellow"/>
                    </w:rPr>
                    <w:t>2</w:t>
                  </w:r>
                  <w:r w:rsidR="007E335A" w:rsidRPr="007E335A">
                    <w:rPr>
                      <w:rFonts w:ascii="Cambria" w:hAnsi="Cambria" w:cs="Arial"/>
                      <w:i/>
                      <w:iCs/>
                      <w:color w:val="0070C0"/>
                      <w:sz w:val="16"/>
                      <w:szCs w:val="16"/>
                      <w:highlight w:val="yellow"/>
                    </w:rPr>
                    <w:t>9</w:t>
                  </w:r>
                  <w:r w:rsidRPr="007B44CF">
                    <w:rPr>
                      <w:rFonts w:ascii="Cambria" w:hAnsi="Cambria" w:cs="Arial"/>
                      <w:i/>
                      <w:iCs/>
                      <w:color w:val="0070C0"/>
                      <w:sz w:val="16"/>
                      <w:szCs w:val="16"/>
                    </w:rPr>
                    <w:t>% más 10 UVT</w:t>
                  </w:r>
                </w:p>
                <w:p w14:paraId="6504FBDB" w14:textId="77777777" w:rsidR="007E335A" w:rsidRDefault="007E335A" w:rsidP="009A5EB0">
                  <w:pPr>
                    <w:rPr>
                      <w:rFonts w:ascii="Cambria" w:hAnsi="Cambria" w:cs="Arial"/>
                      <w:i/>
                      <w:iCs/>
                      <w:color w:val="0070C0"/>
                      <w:sz w:val="16"/>
                      <w:szCs w:val="16"/>
                    </w:rPr>
                  </w:pPr>
                </w:p>
                <w:p w14:paraId="0AF8EB6C" w14:textId="77777777" w:rsidR="007E335A" w:rsidRPr="007B44CF" w:rsidRDefault="007E335A" w:rsidP="009A5EB0">
                  <w:pPr>
                    <w:rPr>
                      <w:rFonts w:ascii="Cambria" w:hAnsi="Cambria" w:cs="Arial"/>
                      <w:i/>
                      <w:iCs/>
                      <w:color w:val="0070C0"/>
                      <w:sz w:val="16"/>
                      <w:szCs w:val="16"/>
                    </w:rPr>
                  </w:pPr>
                </w:p>
                <w:p w14:paraId="5AD4ED5B" w14:textId="77777777" w:rsidR="009A5EB0" w:rsidRPr="007B44CF" w:rsidRDefault="009A5EB0" w:rsidP="009A5EB0">
                  <w:pPr>
                    <w:rPr>
                      <w:rFonts w:ascii="Cambria" w:eastAsia="Times New Roman" w:hAnsi="Cambria" w:cstheme="minorHAnsi"/>
                      <w:i/>
                      <w:iCs/>
                      <w:color w:val="0070C0"/>
                      <w:sz w:val="16"/>
                      <w:szCs w:val="16"/>
                      <w:lang w:eastAsia="es-CO"/>
                    </w:rPr>
                  </w:pPr>
                </w:p>
              </w:tc>
            </w:tr>
            <w:tr w:rsidR="007B44CF" w:rsidRPr="007B44CF" w14:paraId="014A2497" w14:textId="77777777" w:rsidTr="00805894">
              <w:tc>
                <w:tcPr>
                  <w:tcW w:w="1019" w:type="dxa"/>
                </w:tcPr>
                <w:p w14:paraId="3B855166"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&gt;360</w:t>
                  </w:r>
                </w:p>
              </w:tc>
              <w:tc>
                <w:tcPr>
                  <w:tcW w:w="1019" w:type="dxa"/>
                </w:tcPr>
                <w:p w14:paraId="04907779"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640</w:t>
                  </w:r>
                </w:p>
              </w:tc>
              <w:tc>
                <w:tcPr>
                  <w:tcW w:w="1020" w:type="dxa"/>
                </w:tcPr>
                <w:p w14:paraId="35440006" w14:textId="01CFBEB2"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3</w:t>
                  </w:r>
                  <w:r w:rsidR="007E335A" w:rsidRPr="007E335A">
                    <w:rPr>
                      <w:rFonts w:ascii="Cambria" w:hAnsi="Cambria" w:cs="Arial"/>
                      <w:i/>
                      <w:iCs/>
                      <w:color w:val="0070C0"/>
                      <w:sz w:val="16"/>
                      <w:szCs w:val="16"/>
                      <w:highlight w:val="yellow"/>
                    </w:rPr>
                    <w:t>5</w:t>
                  </w:r>
                  <w:r w:rsidRPr="007E335A">
                    <w:rPr>
                      <w:rFonts w:ascii="Cambria" w:hAnsi="Cambria" w:cs="Arial"/>
                      <w:i/>
                      <w:iCs/>
                      <w:color w:val="0070C0"/>
                      <w:sz w:val="16"/>
                      <w:szCs w:val="16"/>
                      <w:highlight w:val="yellow"/>
                    </w:rPr>
                    <w:t>%</w:t>
                  </w:r>
                </w:p>
              </w:tc>
              <w:tc>
                <w:tcPr>
                  <w:tcW w:w="1147" w:type="dxa"/>
                  <w:vAlign w:val="center"/>
                </w:tcPr>
                <w:p w14:paraId="0CC1C052" w14:textId="74A9BE83" w:rsidR="009A5EB0"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007E335A" w:rsidRPr="007E335A">
                    <w:rPr>
                      <w:rFonts w:ascii="Cambria" w:hAnsi="Cambria" w:cs="Arial"/>
                      <w:i/>
                      <w:iCs/>
                      <w:color w:val="0070C0"/>
                      <w:sz w:val="16"/>
                      <w:szCs w:val="16"/>
                      <w:highlight w:val="yellow"/>
                    </w:rPr>
                    <w:t>Base gravable</w:t>
                  </w:r>
                  <w:r w:rsidR="007E335A" w:rsidRPr="007B44CF">
                    <w:rPr>
                      <w:rFonts w:ascii="Cambria" w:hAnsi="Cambria" w:cs="Arial"/>
                      <w:i/>
                      <w:iCs/>
                      <w:color w:val="0070C0"/>
                      <w:sz w:val="16"/>
                      <w:szCs w:val="16"/>
                    </w:rPr>
                    <w:t xml:space="preserve"> </w:t>
                  </w:r>
                  <w:r w:rsidRPr="007B44CF">
                    <w:rPr>
                      <w:rFonts w:ascii="Cambria" w:hAnsi="Cambria" w:cs="Arial"/>
                      <w:i/>
                      <w:iCs/>
                      <w:color w:val="0070C0"/>
                      <w:sz w:val="16"/>
                      <w:szCs w:val="16"/>
                    </w:rPr>
                    <w:t xml:space="preserve">en UVT menos </w:t>
                  </w:r>
                  <w:r w:rsidR="007E335A">
                    <w:rPr>
                      <w:rFonts w:ascii="Cambria" w:hAnsi="Cambria" w:cs="Arial"/>
                      <w:i/>
                      <w:iCs/>
                      <w:color w:val="0070C0"/>
                      <w:sz w:val="16"/>
                      <w:szCs w:val="16"/>
                    </w:rPr>
                    <w:t>360</w:t>
                  </w:r>
                  <w:r w:rsidRPr="000F0A0E">
                    <w:rPr>
                      <w:rFonts w:ascii="Cambria" w:hAnsi="Cambria" w:cs="Arial"/>
                      <w:b/>
                      <w:bCs/>
                      <w:i/>
                      <w:iCs/>
                      <w:color w:val="0070C0"/>
                      <w:sz w:val="16"/>
                      <w:szCs w:val="16"/>
                      <w:u w:val="single"/>
                    </w:rPr>
                    <w:t xml:space="preserve"> </w:t>
                  </w:r>
                  <w:r w:rsidRPr="007E335A">
                    <w:rPr>
                      <w:rFonts w:ascii="Cambria" w:hAnsi="Cambria" w:cs="Arial"/>
                      <w:i/>
                      <w:iCs/>
                      <w:color w:val="0070C0"/>
                      <w:sz w:val="16"/>
                      <w:szCs w:val="16"/>
                    </w:rPr>
                    <w:t>UV</w:t>
                  </w:r>
                  <w:r w:rsidRPr="007B44CF">
                    <w:rPr>
                      <w:rFonts w:ascii="Cambria" w:hAnsi="Cambria" w:cs="Arial"/>
                      <w:i/>
                      <w:iCs/>
                      <w:color w:val="0070C0"/>
                      <w:sz w:val="16"/>
                      <w:szCs w:val="16"/>
                    </w:rPr>
                    <w:t xml:space="preserve">T) x </w:t>
                  </w:r>
                  <w:r w:rsidRPr="007E335A">
                    <w:rPr>
                      <w:rFonts w:ascii="Cambria" w:hAnsi="Cambria" w:cs="Arial"/>
                      <w:i/>
                      <w:iCs/>
                      <w:color w:val="0070C0"/>
                      <w:sz w:val="16"/>
                      <w:szCs w:val="16"/>
                      <w:highlight w:val="yellow"/>
                    </w:rPr>
                    <w:t>3</w:t>
                  </w:r>
                  <w:r w:rsidR="007E335A" w:rsidRPr="007E335A">
                    <w:rPr>
                      <w:rFonts w:ascii="Cambria" w:hAnsi="Cambria" w:cs="Arial"/>
                      <w:i/>
                      <w:iCs/>
                      <w:color w:val="0070C0"/>
                      <w:sz w:val="16"/>
                      <w:szCs w:val="16"/>
                      <w:highlight w:val="yellow"/>
                    </w:rPr>
                    <w:t>5</w:t>
                  </w:r>
                  <w:r w:rsidRPr="007E335A">
                    <w:rPr>
                      <w:rFonts w:ascii="Cambria" w:hAnsi="Cambria" w:cs="Arial"/>
                      <w:i/>
                      <w:iCs/>
                      <w:color w:val="0070C0"/>
                      <w:sz w:val="16"/>
                      <w:szCs w:val="16"/>
                      <w:highlight w:val="yellow"/>
                    </w:rPr>
                    <w:t>%</w:t>
                  </w:r>
                  <w:r w:rsidRPr="007B44CF">
                    <w:rPr>
                      <w:rFonts w:ascii="Cambria" w:hAnsi="Cambria" w:cs="Arial"/>
                      <w:i/>
                      <w:iCs/>
                      <w:color w:val="0070C0"/>
                      <w:sz w:val="16"/>
                      <w:szCs w:val="16"/>
                    </w:rPr>
                    <w:t xml:space="preserve"> más </w:t>
                  </w:r>
                  <w:r w:rsidR="007E335A" w:rsidRPr="007E335A">
                    <w:rPr>
                      <w:rFonts w:ascii="Cambria" w:hAnsi="Cambria" w:cs="Arial"/>
                      <w:i/>
                      <w:iCs/>
                      <w:color w:val="0070C0"/>
                      <w:sz w:val="16"/>
                      <w:szCs w:val="16"/>
                      <w:highlight w:val="yellow"/>
                    </w:rPr>
                    <w:t>71</w:t>
                  </w:r>
                  <w:r w:rsidRPr="007B44CF">
                    <w:rPr>
                      <w:rFonts w:ascii="Cambria" w:hAnsi="Cambria" w:cs="Arial"/>
                      <w:i/>
                      <w:iCs/>
                      <w:color w:val="0070C0"/>
                      <w:sz w:val="16"/>
                      <w:szCs w:val="16"/>
                    </w:rPr>
                    <w:t xml:space="preserve"> UVT</w:t>
                  </w:r>
                </w:p>
                <w:p w14:paraId="74A365FD" w14:textId="77777777" w:rsidR="007E335A" w:rsidRDefault="007E335A" w:rsidP="009A5EB0">
                  <w:pPr>
                    <w:pStyle w:val="NormalWeb"/>
                    <w:spacing w:before="0" w:beforeAutospacing="0" w:after="0" w:afterAutospacing="0"/>
                    <w:rPr>
                      <w:rFonts w:ascii="Cambria" w:hAnsi="Cambria" w:cs="Arial"/>
                      <w:i/>
                      <w:iCs/>
                      <w:color w:val="0070C0"/>
                      <w:sz w:val="16"/>
                      <w:szCs w:val="16"/>
                    </w:rPr>
                  </w:pPr>
                </w:p>
                <w:p w14:paraId="17FD0931" w14:textId="77777777" w:rsidR="007E335A" w:rsidRPr="007B44CF" w:rsidRDefault="007E335A" w:rsidP="009A5EB0">
                  <w:pPr>
                    <w:pStyle w:val="NormalWeb"/>
                    <w:spacing w:before="0" w:beforeAutospacing="0" w:after="0" w:afterAutospacing="0"/>
                    <w:rPr>
                      <w:rFonts w:ascii="Cambria" w:hAnsi="Cambria" w:cs="Arial"/>
                      <w:i/>
                      <w:iCs/>
                      <w:color w:val="0070C0"/>
                      <w:sz w:val="16"/>
                      <w:szCs w:val="16"/>
                    </w:rPr>
                  </w:pPr>
                </w:p>
                <w:p w14:paraId="7FFBD0F8"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p w14:paraId="7A8CA95C"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tc>
            </w:tr>
            <w:tr w:rsidR="007B44CF" w:rsidRPr="007B44CF" w14:paraId="3560E83C" w14:textId="77777777" w:rsidTr="00805894">
              <w:tc>
                <w:tcPr>
                  <w:tcW w:w="1019" w:type="dxa"/>
                </w:tcPr>
                <w:p w14:paraId="146A5334"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&gt;640</w:t>
                  </w:r>
                </w:p>
              </w:tc>
              <w:tc>
                <w:tcPr>
                  <w:tcW w:w="1019" w:type="dxa"/>
                </w:tcPr>
                <w:p w14:paraId="4E06BB05"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945</w:t>
                  </w:r>
                </w:p>
              </w:tc>
              <w:tc>
                <w:tcPr>
                  <w:tcW w:w="1020" w:type="dxa"/>
                </w:tcPr>
                <w:p w14:paraId="73419EF2" w14:textId="7B9ADB2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3</w:t>
                  </w:r>
                  <w:r w:rsidR="007E335A" w:rsidRPr="007E335A">
                    <w:rPr>
                      <w:rFonts w:ascii="Cambria" w:hAnsi="Cambria" w:cs="Arial"/>
                      <w:i/>
                      <w:iCs/>
                      <w:color w:val="0070C0"/>
                      <w:sz w:val="16"/>
                      <w:szCs w:val="16"/>
                      <w:highlight w:val="yellow"/>
                    </w:rPr>
                    <w:t>7</w:t>
                  </w:r>
                  <w:r w:rsidRPr="007E335A">
                    <w:rPr>
                      <w:rFonts w:ascii="Cambria" w:hAnsi="Cambria" w:cs="Arial"/>
                      <w:i/>
                      <w:iCs/>
                      <w:color w:val="0070C0"/>
                      <w:sz w:val="16"/>
                      <w:szCs w:val="16"/>
                      <w:highlight w:val="yellow"/>
                    </w:rPr>
                    <w:t>%</w:t>
                  </w:r>
                </w:p>
              </w:tc>
              <w:tc>
                <w:tcPr>
                  <w:tcW w:w="1147" w:type="dxa"/>
                  <w:vAlign w:val="center"/>
                </w:tcPr>
                <w:p w14:paraId="377B9044" w14:textId="3B54F576" w:rsidR="009A5EB0"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007E335A" w:rsidRPr="007E335A">
                    <w:rPr>
                      <w:rFonts w:ascii="Cambria" w:hAnsi="Cambria" w:cs="Arial"/>
                      <w:i/>
                      <w:iCs/>
                      <w:color w:val="0070C0"/>
                      <w:sz w:val="16"/>
                      <w:szCs w:val="16"/>
                      <w:highlight w:val="yellow"/>
                    </w:rPr>
                    <w:t>Base gravable</w:t>
                  </w:r>
                  <w:r w:rsidR="007E335A" w:rsidRPr="007B44CF">
                    <w:rPr>
                      <w:rFonts w:ascii="Cambria" w:hAnsi="Cambria" w:cs="Arial"/>
                      <w:i/>
                      <w:iCs/>
                      <w:color w:val="0070C0"/>
                      <w:sz w:val="16"/>
                      <w:szCs w:val="16"/>
                    </w:rPr>
                    <w:t xml:space="preserve"> </w:t>
                  </w:r>
                  <w:r w:rsidRPr="007B44CF">
                    <w:rPr>
                      <w:rFonts w:ascii="Cambria" w:hAnsi="Cambria" w:cs="Arial"/>
                      <w:i/>
                      <w:iCs/>
                      <w:color w:val="0070C0"/>
                      <w:sz w:val="16"/>
                      <w:szCs w:val="16"/>
                    </w:rPr>
                    <w:t xml:space="preserve">en UVT menos 640 UVT) x </w:t>
                  </w:r>
                  <w:r w:rsidRPr="007E335A">
                    <w:rPr>
                      <w:rFonts w:ascii="Cambria" w:hAnsi="Cambria" w:cs="Arial"/>
                      <w:i/>
                      <w:iCs/>
                      <w:color w:val="0070C0"/>
                      <w:sz w:val="16"/>
                      <w:szCs w:val="16"/>
                      <w:highlight w:val="yellow"/>
                    </w:rPr>
                    <w:t>3</w:t>
                  </w:r>
                  <w:r w:rsidR="007E335A" w:rsidRPr="007E335A">
                    <w:rPr>
                      <w:rFonts w:ascii="Cambria" w:hAnsi="Cambria" w:cs="Arial"/>
                      <w:i/>
                      <w:iCs/>
                      <w:color w:val="0070C0"/>
                      <w:sz w:val="16"/>
                      <w:szCs w:val="16"/>
                      <w:highlight w:val="yellow"/>
                    </w:rPr>
                    <w:t>7</w:t>
                  </w:r>
                  <w:r w:rsidRPr="007E335A">
                    <w:rPr>
                      <w:rFonts w:ascii="Cambria" w:hAnsi="Cambria" w:cs="Arial"/>
                      <w:i/>
                      <w:iCs/>
                      <w:color w:val="0070C0"/>
                      <w:sz w:val="16"/>
                      <w:szCs w:val="16"/>
                      <w:highlight w:val="yellow"/>
                    </w:rPr>
                    <w:t xml:space="preserve">% </w:t>
                  </w:r>
                  <w:r w:rsidRPr="007E335A">
                    <w:rPr>
                      <w:rFonts w:ascii="Cambria" w:hAnsi="Cambria" w:cs="Arial"/>
                      <w:i/>
                      <w:iCs/>
                      <w:color w:val="0070C0"/>
                      <w:sz w:val="16"/>
                      <w:szCs w:val="16"/>
                    </w:rPr>
                    <w:t>más</w:t>
                  </w:r>
                  <w:r w:rsidRPr="007B44CF">
                    <w:rPr>
                      <w:rFonts w:ascii="Cambria" w:hAnsi="Cambria" w:cs="Arial"/>
                      <w:i/>
                      <w:iCs/>
                      <w:color w:val="0070C0"/>
                      <w:sz w:val="16"/>
                      <w:szCs w:val="16"/>
                    </w:rPr>
                    <w:t xml:space="preserve"> </w:t>
                  </w:r>
                  <w:r w:rsidRPr="007E335A">
                    <w:rPr>
                      <w:rFonts w:ascii="Cambria" w:hAnsi="Cambria" w:cs="Arial"/>
                      <w:i/>
                      <w:iCs/>
                      <w:color w:val="0070C0"/>
                      <w:sz w:val="16"/>
                      <w:szCs w:val="16"/>
                      <w:highlight w:val="yellow"/>
                    </w:rPr>
                    <w:t>1</w:t>
                  </w:r>
                  <w:r w:rsidR="007E335A" w:rsidRPr="007E335A">
                    <w:rPr>
                      <w:rFonts w:ascii="Cambria" w:hAnsi="Cambria" w:cs="Arial"/>
                      <w:i/>
                      <w:iCs/>
                      <w:color w:val="0070C0"/>
                      <w:sz w:val="16"/>
                      <w:szCs w:val="16"/>
                      <w:highlight w:val="yellow"/>
                    </w:rPr>
                    <w:t>70</w:t>
                  </w:r>
                  <w:r w:rsidRPr="007B44CF">
                    <w:rPr>
                      <w:rFonts w:ascii="Cambria" w:hAnsi="Cambria" w:cs="Arial"/>
                      <w:i/>
                      <w:iCs/>
                      <w:color w:val="0070C0"/>
                      <w:sz w:val="16"/>
                      <w:szCs w:val="16"/>
                    </w:rPr>
                    <w:t xml:space="preserve"> UVT</w:t>
                  </w:r>
                </w:p>
                <w:p w14:paraId="4669AFF1" w14:textId="77777777" w:rsidR="007E335A" w:rsidRDefault="007E335A" w:rsidP="009A5EB0">
                  <w:pPr>
                    <w:pStyle w:val="NormalWeb"/>
                    <w:spacing w:before="0" w:beforeAutospacing="0" w:after="0" w:afterAutospacing="0"/>
                    <w:rPr>
                      <w:rFonts w:ascii="Cambria" w:hAnsi="Cambria" w:cs="Arial"/>
                      <w:i/>
                      <w:iCs/>
                      <w:color w:val="0070C0"/>
                      <w:sz w:val="16"/>
                      <w:szCs w:val="16"/>
                    </w:rPr>
                  </w:pPr>
                </w:p>
                <w:p w14:paraId="1EF3E491" w14:textId="77777777" w:rsidR="007E335A" w:rsidRPr="007B44CF" w:rsidRDefault="007E335A" w:rsidP="009A5EB0">
                  <w:pPr>
                    <w:pStyle w:val="NormalWeb"/>
                    <w:spacing w:before="0" w:beforeAutospacing="0" w:after="0" w:afterAutospacing="0"/>
                    <w:rPr>
                      <w:rFonts w:ascii="Cambria" w:hAnsi="Cambria" w:cs="Arial"/>
                      <w:i/>
                      <w:iCs/>
                      <w:color w:val="0070C0"/>
                      <w:sz w:val="16"/>
                      <w:szCs w:val="16"/>
                    </w:rPr>
                  </w:pPr>
                </w:p>
                <w:p w14:paraId="1A5A5F31" w14:textId="77777777" w:rsidR="009A5EB0" w:rsidRPr="007B44CF" w:rsidRDefault="009A5EB0" w:rsidP="009A5EB0">
                  <w:pPr>
                    <w:pStyle w:val="NormalWeb"/>
                    <w:spacing w:before="0" w:beforeAutospacing="0" w:after="0" w:afterAutospacing="0"/>
                    <w:rPr>
                      <w:rFonts w:ascii="Cambria" w:hAnsi="Cambria" w:cs="Arial"/>
                      <w:i/>
                      <w:iCs/>
                      <w:color w:val="0070C0"/>
                      <w:sz w:val="16"/>
                      <w:szCs w:val="16"/>
                    </w:rPr>
                  </w:pPr>
                </w:p>
                <w:p w14:paraId="18029027"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tc>
            </w:tr>
            <w:tr w:rsidR="007B44CF" w:rsidRPr="007B44CF" w14:paraId="7318852D" w14:textId="77777777" w:rsidTr="007E335A">
              <w:trPr>
                <w:trHeight w:val="2376"/>
              </w:trPr>
              <w:tc>
                <w:tcPr>
                  <w:tcW w:w="1019" w:type="dxa"/>
                </w:tcPr>
                <w:p w14:paraId="61BA04E3"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&gt;945</w:t>
                  </w:r>
                </w:p>
              </w:tc>
              <w:tc>
                <w:tcPr>
                  <w:tcW w:w="1019" w:type="dxa"/>
                </w:tcPr>
                <w:p w14:paraId="385A500F" w14:textId="7777777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B44CF">
                    <w:rPr>
                      <w:rFonts w:ascii="Cambria" w:hAnsi="Cambria" w:cs="Arial"/>
                      <w:i/>
                      <w:iCs/>
                      <w:color w:val="0070C0"/>
                      <w:sz w:val="16"/>
                      <w:szCs w:val="16"/>
                    </w:rPr>
                    <w:t>2300</w:t>
                  </w:r>
                </w:p>
              </w:tc>
              <w:tc>
                <w:tcPr>
                  <w:tcW w:w="1020" w:type="dxa"/>
                </w:tcPr>
                <w:p w14:paraId="7BBE0FE2" w14:textId="13AEFCD7" w:rsidR="009A5EB0" w:rsidRPr="007B44CF" w:rsidRDefault="009A5EB0" w:rsidP="009A5EB0">
                  <w:pPr>
                    <w:pStyle w:val="NormalWeb"/>
                    <w:spacing w:before="0" w:beforeAutospacing="0" w:after="0" w:afterAutospacing="0"/>
                    <w:jc w:val="center"/>
                    <w:rPr>
                      <w:rFonts w:ascii="Cambria" w:hAnsi="Cambria" w:cstheme="minorHAnsi"/>
                      <w:i/>
                      <w:iCs/>
                      <w:color w:val="0070C0"/>
                      <w:sz w:val="16"/>
                      <w:szCs w:val="16"/>
                    </w:rPr>
                  </w:pPr>
                  <w:r w:rsidRPr="007E335A">
                    <w:rPr>
                      <w:rFonts w:ascii="Cambria" w:hAnsi="Cambria" w:cs="Arial"/>
                      <w:i/>
                      <w:iCs/>
                      <w:color w:val="0070C0"/>
                      <w:sz w:val="16"/>
                      <w:szCs w:val="16"/>
                      <w:highlight w:val="yellow"/>
                    </w:rPr>
                    <w:t>3</w:t>
                  </w:r>
                  <w:r w:rsidR="007E335A" w:rsidRPr="007E335A">
                    <w:rPr>
                      <w:rFonts w:ascii="Cambria" w:hAnsi="Cambria" w:cs="Arial"/>
                      <w:i/>
                      <w:iCs/>
                      <w:color w:val="0070C0"/>
                      <w:sz w:val="16"/>
                      <w:szCs w:val="16"/>
                      <w:highlight w:val="yellow"/>
                    </w:rPr>
                    <w:t>9</w:t>
                  </w:r>
                  <w:r w:rsidRPr="007E335A">
                    <w:rPr>
                      <w:rFonts w:ascii="Cambria" w:hAnsi="Cambria" w:cs="Arial"/>
                      <w:i/>
                      <w:iCs/>
                      <w:color w:val="0070C0"/>
                      <w:sz w:val="16"/>
                      <w:szCs w:val="16"/>
                      <w:highlight w:val="yellow"/>
                    </w:rPr>
                    <w:t>%</w:t>
                  </w:r>
                </w:p>
              </w:tc>
              <w:tc>
                <w:tcPr>
                  <w:tcW w:w="1147" w:type="dxa"/>
                </w:tcPr>
                <w:p w14:paraId="45745965" w14:textId="1A20D0DC" w:rsidR="009A5EB0" w:rsidRPr="007B44CF"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007E335A" w:rsidRPr="007E335A">
                    <w:rPr>
                      <w:rFonts w:ascii="Cambria" w:hAnsi="Cambria" w:cs="Arial"/>
                      <w:i/>
                      <w:iCs/>
                      <w:color w:val="0070C0"/>
                      <w:sz w:val="16"/>
                      <w:szCs w:val="16"/>
                      <w:highlight w:val="yellow"/>
                    </w:rPr>
                    <w:t>Base gravable</w:t>
                  </w:r>
                  <w:r w:rsidR="007E335A" w:rsidRPr="007B44CF">
                    <w:rPr>
                      <w:rFonts w:ascii="Cambria" w:hAnsi="Cambria" w:cs="Arial"/>
                      <w:i/>
                      <w:iCs/>
                      <w:color w:val="0070C0"/>
                      <w:sz w:val="16"/>
                      <w:szCs w:val="16"/>
                    </w:rPr>
                    <w:t xml:space="preserve"> </w:t>
                  </w:r>
                  <w:r w:rsidRPr="007B44CF">
                    <w:rPr>
                      <w:rFonts w:ascii="Cambria" w:hAnsi="Cambria" w:cs="Arial"/>
                      <w:i/>
                      <w:iCs/>
                      <w:color w:val="0070C0"/>
                      <w:sz w:val="16"/>
                      <w:szCs w:val="16"/>
                    </w:rPr>
                    <w:t xml:space="preserve">en UVT menos 945 UVT) x </w:t>
                  </w:r>
                  <w:r w:rsidRPr="007E335A">
                    <w:rPr>
                      <w:rFonts w:ascii="Cambria" w:hAnsi="Cambria" w:cs="Arial"/>
                      <w:i/>
                      <w:iCs/>
                      <w:color w:val="0070C0"/>
                      <w:sz w:val="16"/>
                      <w:szCs w:val="16"/>
                      <w:highlight w:val="yellow"/>
                    </w:rPr>
                    <w:t>3</w:t>
                  </w:r>
                  <w:r w:rsidR="007E335A" w:rsidRPr="007E335A">
                    <w:rPr>
                      <w:rFonts w:ascii="Cambria" w:hAnsi="Cambria" w:cs="Arial"/>
                      <w:i/>
                      <w:iCs/>
                      <w:color w:val="0070C0"/>
                      <w:sz w:val="16"/>
                      <w:szCs w:val="16"/>
                      <w:highlight w:val="yellow"/>
                    </w:rPr>
                    <w:t>9</w:t>
                  </w:r>
                  <w:r w:rsidRPr="007B44CF">
                    <w:rPr>
                      <w:rFonts w:ascii="Cambria" w:hAnsi="Cambria" w:cs="Arial"/>
                      <w:i/>
                      <w:iCs/>
                      <w:color w:val="0070C0"/>
                      <w:sz w:val="16"/>
                      <w:szCs w:val="16"/>
                    </w:rPr>
                    <w:t xml:space="preserve">% más </w:t>
                  </w:r>
                  <w:r w:rsidRPr="007E335A">
                    <w:rPr>
                      <w:rFonts w:ascii="Cambria" w:hAnsi="Cambria" w:cs="Arial"/>
                      <w:i/>
                      <w:iCs/>
                      <w:color w:val="0070C0"/>
                      <w:sz w:val="16"/>
                      <w:szCs w:val="16"/>
                      <w:highlight w:val="yellow"/>
                    </w:rPr>
                    <w:t>2</w:t>
                  </w:r>
                  <w:r w:rsidR="007E335A" w:rsidRPr="007E335A">
                    <w:rPr>
                      <w:rFonts w:ascii="Cambria" w:hAnsi="Cambria" w:cs="Arial"/>
                      <w:i/>
                      <w:iCs/>
                      <w:color w:val="0070C0"/>
                      <w:sz w:val="16"/>
                      <w:szCs w:val="16"/>
                      <w:highlight w:val="yellow"/>
                    </w:rPr>
                    <w:t>82</w:t>
                  </w:r>
                  <w:r w:rsidRPr="007B44CF">
                    <w:rPr>
                      <w:rFonts w:ascii="Cambria" w:hAnsi="Cambria" w:cs="Arial"/>
                      <w:i/>
                      <w:iCs/>
                      <w:color w:val="0070C0"/>
                      <w:sz w:val="16"/>
                      <w:szCs w:val="16"/>
                    </w:rPr>
                    <w:t xml:space="preserve"> UVT</w:t>
                  </w:r>
                </w:p>
                <w:p w14:paraId="1B96611E" w14:textId="77777777" w:rsidR="009A5EB0" w:rsidRPr="007B44CF" w:rsidRDefault="009A5EB0" w:rsidP="009A5EB0">
                  <w:pPr>
                    <w:pStyle w:val="NormalWeb"/>
                    <w:spacing w:before="0" w:beforeAutospacing="0" w:after="0" w:afterAutospacing="0"/>
                    <w:rPr>
                      <w:rFonts w:ascii="Cambria" w:hAnsi="Cambria" w:cstheme="minorHAnsi"/>
                      <w:i/>
                      <w:iCs/>
                      <w:color w:val="0070C0"/>
                      <w:sz w:val="16"/>
                      <w:szCs w:val="16"/>
                    </w:rPr>
                  </w:pPr>
                </w:p>
              </w:tc>
            </w:tr>
            <w:tr w:rsidR="007B44CF" w:rsidRPr="007B44CF" w14:paraId="3F8FEEDB" w14:textId="77777777" w:rsidTr="00805894">
              <w:trPr>
                <w:trHeight w:val="194"/>
              </w:trPr>
              <w:tc>
                <w:tcPr>
                  <w:tcW w:w="1019" w:type="dxa"/>
                </w:tcPr>
                <w:p w14:paraId="0EBA01EB" w14:textId="77777777" w:rsidR="009A5EB0" w:rsidRPr="007B44CF" w:rsidRDefault="009A5EB0" w:rsidP="009A5EB0">
                  <w:pPr>
                    <w:pStyle w:val="NormalWeb"/>
                    <w:spacing w:before="0" w:beforeAutospacing="0" w:after="0" w:afterAutospacing="0"/>
                    <w:jc w:val="center"/>
                    <w:rPr>
                      <w:rFonts w:ascii="Cambria" w:hAnsi="Cambria" w:cs="Arial"/>
                      <w:i/>
                      <w:iCs/>
                      <w:color w:val="0070C0"/>
                      <w:sz w:val="16"/>
                      <w:szCs w:val="16"/>
                    </w:rPr>
                  </w:pPr>
                  <w:r w:rsidRPr="007B44CF">
                    <w:rPr>
                      <w:rFonts w:ascii="Cambria" w:hAnsi="Cambria" w:cs="Arial"/>
                      <w:i/>
                      <w:iCs/>
                      <w:color w:val="0070C0"/>
                      <w:sz w:val="16"/>
                      <w:szCs w:val="16"/>
                    </w:rPr>
                    <w:t>&gt;2300</w:t>
                  </w:r>
                </w:p>
              </w:tc>
              <w:tc>
                <w:tcPr>
                  <w:tcW w:w="1019" w:type="dxa"/>
                </w:tcPr>
                <w:p w14:paraId="10E83D83" w14:textId="77777777" w:rsidR="009A5EB0" w:rsidRPr="007B44CF" w:rsidRDefault="009A5EB0" w:rsidP="009A5EB0">
                  <w:pPr>
                    <w:pStyle w:val="NormalWeb"/>
                    <w:spacing w:before="0" w:beforeAutospacing="0" w:after="0" w:afterAutospacing="0"/>
                    <w:jc w:val="center"/>
                    <w:rPr>
                      <w:rFonts w:ascii="Cambria" w:hAnsi="Cambria" w:cs="Arial"/>
                      <w:i/>
                      <w:iCs/>
                      <w:color w:val="0070C0"/>
                      <w:sz w:val="16"/>
                      <w:szCs w:val="16"/>
                    </w:rPr>
                  </w:pPr>
                  <w:r w:rsidRPr="007B44CF">
                    <w:rPr>
                      <w:rFonts w:ascii="Cambria" w:hAnsi="Cambria" w:cs="Arial"/>
                      <w:i/>
                      <w:iCs/>
                      <w:color w:val="0070C0"/>
                      <w:sz w:val="16"/>
                      <w:szCs w:val="16"/>
                    </w:rPr>
                    <w:t>En adelante</w:t>
                  </w:r>
                </w:p>
              </w:tc>
              <w:tc>
                <w:tcPr>
                  <w:tcW w:w="1020" w:type="dxa"/>
                </w:tcPr>
                <w:p w14:paraId="388C735A" w14:textId="7D165A03" w:rsidR="009A5EB0" w:rsidRPr="000F0A0E" w:rsidRDefault="009A5EB0" w:rsidP="009A5EB0">
                  <w:pPr>
                    <w:pStyle w:val="NormalWeb"/>
                    <w:spacing w:before="0" w:beforeAutospacing="0" w:after="0" w:afterAutospacing="0"/>
                    <w:jc w:val="center"/>
                    <w:rPr>
                      <w:rFonts w:ascii="Cambria" w:hAnsi="Cambria" w:cs="Arial"/>
                      <w:b/>
                      <w:bCs/>
                      <w:i/>
                      <w:iCs/>
                      <w:color w:val="0070C0"/>
                      <w:sz w:val="16"/>
                      <w:szCs w:val="16"/>
                      <w:u w:val="single"/>
                    </w:rPr>
                  </w:pPr>
                  <w:r w:rsidRPr="000F0A0E">
                    <w:rPr>
                      <w:rFonts w:ascii="Cambria" w:hAnsi="Cambria" w:cs="Arial"/>
                      <w:b/>
                      <w:bCs/>
                      <w:i/>
                      <w:iCs/>
                      <w:color w:val="0070C0"/>
                      <w:sz w:val="16"/>
                      <w:szCs w:val="16"/>
                      <w:highlight w:val="yellow"/>
                      <w:u w:val="single"/>
                    </w:rPr>
                    <w:t>41%</w:t>
                  </w:r>
                </w:p>
              </w:tc>
              <w:tc>
                <w:tcPr>
                  <w:tcW w:w="1147" w:type="dxa"/>
                  <w:vAlign w:val="center"/>
                </w:tcPr>
                <w:p w14:paraId="7F321656" w14:textId="59C9CF3A" w:rsidR="009A5EB0" w:rsidRPr="007B44CF" w:rsidRDefault="009A5EB0" w:rsidP="009A5EB0">
                  <w:pPr>
                    <w:pStyle w:val="NormalWeb"/>
                    <w:spacing w:before="0" w:beforeAutospacing="0" w:after="0" w:afterAutospacing="0"/>
                    <w:rPr>
                      <w:rFonts w:ascii="Cambria" w:hAnsi="Cambria" w:cs="Arial"/>
                      <w:i/>
                      <w:iCs/>
                      <w:color w:val="0070C0"/>
                      <w:sz w:val="16"/>
                      <w:szCs w:val="16"/>
                    </w:rPr>
                  </w:pPr>
                  <w:r w:rsidRPr="007B44CF">
                    <w:rPr>
                      <w:rFonts w:ascii="Cambria" w:hAnsi="Cambria" w:cs="Arial"/>
                      <w:i/>
                      <w:iCs/>
                      <w:color w:val="0070C0"/>
                      <w:sz w:val="16"/>
                      <w:szCs w:val="16"/>
                    </w:rPr>
                    <w:t>(</w:t>
                  </w:r>
                  <w:r w:rsidR="007E335A" w:rsidRPr="007E335A">
                    <w:rPr>
                      <w:rFonts w:ascii="Cambria" w:hAnsi="Cambria" w:cs="Arial"/>
                      <w:i/>
                      <w:iCs/>
                      <w:color w:val="0070C0"/>
                      <w:sz w:val="16"/>
                      <w:szCs w:val="16"/>
                      <w:highlight w:val="yellow"/>
                    </w:rPr>
                    <w:t>Base gravable</w:t>
                  </w:r>
                  <w:r w:rsidR="007E335A" w:rsidRPr="007B44CF">
                    <w:rPr>
                      <w:rFonts w:ascii="Cambria" w:hAnsi="Cambria" w:cs="Arial"/>
                      <w:i/>
                      <w:iCs/>
                      <w:color w:val="0070C0"/>
                      <w:sz w:val="16"/>
                      <w:szCs w:val="16"/>
                    </w:rPr>
                    <w:t xml:space="preserve"> </w:t>
                  </w:r>
                  <w:r w:rsidRPr="007B44CF">
                    <w:rPr>
                      <w:rFonts w:ascii="Cambria" w:hAnsi="Cambria" w:cs="Arial"/>
                      <w:i/>
                      <w:iCs/>
                      <w:color w:val="0070C0"/>
                      <w:sz w:val="16"/>
                      <w:szCs w:val="16"/>
                    </w:rPr>
                    <w:t xml:space="preserve">en UVT menos 2300 UVT) x </w:t>
                  </w:r>
                  <w:r w:rsidRPr="000F0A0E">
                    <w:rPr>
                      <w:rFonts w:ascii="Cambria" w:hAnsi="Cambria" w:cs="Arial"/>
                      <w:b/>
                      <w:bCs/>
                      <w:i/>
                      <w:iCs/>
                      <w:color w:val="0070C0"/>
                      <w:sz w:val="16"/>
                      <w:szCs w:val="16"/>
                      <w:highlight w:val="yellow"/>
                      <w:u w:val="single"/>
                    </w:rPr>
                    <w:t>41%</w:t>
                  </w:r>
                  <w:r w:rsidRPr="007B44CF">
                    <w:rPr>
                      <w:rFonts w:ascii="Cambria" w:hAnsi="Cambria" w:cs="Arial"/>
                      <w:i/>
                      <w:iCs/>
                      <w:color w:val="0070C0"/>
                      <w:sz w:val="16"/>
                      <w:szCs w:val="16"/>
                    </w:rPr>
                    <w:t xml:space="preserve"> más </w:t>
                  </w:r>
                  <w:r w:rsidR="007E335A" w:rsidRPr="007E335A">
                    <w:rPr>
                      <w:rFonts w:ascii="Cambria" w:hAnsi="Cambria" w:cs="Arial"/>
                      <w:i/>
                      <w:iCs/>
                      <w:color w:val="0070C0"/>
                      <w:sz w:val="16"/>
                      <w:szCs w:val="16"/>
                      <w:highlight w:val="yellow"/>
                    </w:rPr>
                    <w:t>812</w:t>
                  </w:r>
                  <w:r w:rsidRPr="007B44CF">
                    <w:rPr>
                      <w:rFonts w:ascii="Cambria" w:hAnsi="Cambria" w:cs="Arial"/>
                      <w:i/>
                      <w:iCs/>
                      <w:color w:val="0070C0"/>
                      <w:sz w:val="16"/>
                      <w:szCs w:val="16"/>
                    </w:rPr>
                    <w:t xml:space="preserve"> UVT</w:t>
                  </w:r>
                </w:p>
              </w:tc>
            </w:tr>
          </w:tbl>
          <w:p w14:paraId="0FCB2CF1"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0087C3D1"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4CA77E48" w14:textId="77777777" w:rsidR="009A5EB0" w:rsidRPr="000F0A0E" w:rsidRDefault="009A5EB0" w:rsidP="009A5EB0">
            <w:pPr>
              <w:pStyle w:val="Default"/>
              <w:jc w:val="both"/>
              <w:rPr>
                <w:rFonts w:ascii="Cambria" w:eastAsia="Times New Roman" w:hAnsi="Cambria" w:cstheme="minorHAnsi"/>
                <w:b/>
                <w:bCs/>
                <w:i/>
                <w:iCs/>
                <w:color w:val="0070C0"/>
                <w:kern w:val="2"/>
                <w:sz w:val="16"/>
                <w:szCs w:val="16"/>
                <w:u w:val="single"/>
                <w:lang w:eastAsia="es-CO"/>
                <w14:ligatures w14:val="standardContextual"/>
              </w:rPr>
            </w:pPr>
            <w:r w:rsidRPr="007B44CF">
              <w:rPr>
                <w:rFonts w:ascii="Cambria" w:eastAsia="Times New Roman" w:hAnsi="Cambria" w:cstheme="minorHAnsi"/>
                <w:i/>
                <w:iCs/>
                <w:color w:val="0070C0"/>
                <w:kern w:val="2"/>
                <w:sz w:val="16"/>
                <w:szCs w:val="16"/>
                <w:lang w:eastAsia="es-CO"/>
                <w14:ligatures w14:val="standardContextual"/>
              </w:rPr>
              <w:t xml:space="preserve">PARÁGRAFO 1. La retención en la fuente establecida en este artículo se aplicará a los pagos o abonos por rentas de trabajo que no provengan de una relación laboral o legal y reglamentaria, </w:t>
            </w:r>
            <w:r w:rsidRPr="000F0A0E">
              <w:rPr>
                <w:rFonts w:ascii="Cambria" w:eastAsia="Times New Roman" w:hAnsi="Cambria" w:cstheme="minorHAnsi"/>
                <w:b/>
                <w:bCs/>
                <w:i/>
                <w:iCs/>
                <w:color w:val="0070C0"/>
                <w:kern w:val="2"/>
                <w:sz w:val="16"/>
                <w:szCs w:val="16"/>
                <w:highlight w:val="yellow"/>
                <w:u w:val="single"/>
                <w:lang w:eastAsia="es-CO"/>
                <w14:ligatures w14:val="standardContextual"/>
              </w:rPr>
              <w:t>cuando no opte por tomarse costos y gastos. De tomarse costos y gastos, la retención aplicable será la prevista por pagos por honorarios, servicios y comisiones prevista en el artículo 392 del mismo estatuto.</w:t>
            </w:r>
            <w:r w:rsidRPr="000F0A0E">
              <w:rPr>
                <w:rFonts w:ascii="Cambria" w:eastAsia="Times New Roman" w:hAnsi="Cambria" w:cstheme="minorHAnsi"/>
                <w:b/>
                <w:bCs/>
                <w:i/>
                <w:iCs/>
                <w:color w:val="0070C0"/>
                <w:kern w:val="2"/>
                <w:sz w:val="16"/>
                <w:szCs w:val="16"/>
                <w:u w:val="single"/>
                <w:lang w:eastAsia="es-CO"/>
                <w14:ligatures w14:val="standardContextual"/>
              </w:rPr>
              <w:t xml:space="preserve"> </w:t>
            </w:r>
          </w:p>
          <w:p w14:paraId="00E63CE8"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50A4736F" w14:textId="36128E34" w:rsidR="009A5EB0" w:rsidRPr="007B44CF" w:rsidRDefault="009A5EB0" w:rsidP="009A5EB0">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t xml:space="preserve">La retención a la que se refiere este parágrafo se hará por "pagos mensualizados". Para ello se tomará el monto total del valor del contrato menos los respectivos aportes obligatorios a </w:t>
            </w:r>
            <w:r w:rsidRPr="007B44CF">
              <w:rPr>
                <w:rFonts w:ascii="Cambria" w:eastAsia="Times New Roman" w:hAnsi="Cambria" w:cstheme="minorHAnsi"/>
                <w:i/>
                <w:iCs/>
                <w:color w:val="0070C0"/>
                <w:sz w:val="16"/>
                <w:szCs w:val="16"/>
                <w:lang w:eastAsia="es-CO"/>
              </w:rPr>
              <w:lastRenderedPageBreak/>
              <w:t xml:space="preserve">salud y pensiones, y se dividirá por el número de meses de vigencia del mismo. Ese valor mensual corresponde a la base de retención en la fuente que debe ubicarse en la tabla. En el caso en el cual los pagos correspondientes al contrato no sean efectuados mensualmente, el pagador deberá efectuar la retención en la fuente de acuerdo con el cálculo mencionado en este parágrafo, independientemente de la periodicidad pactada para los pagos del contrato; cuando realice el pago deberá retener el equivalente a la suma total de la retención mensualizada. </w:t>
            </w:r>
          </w:p>
          <w:p w14:paraId="013EAA29" w14:textId="77777777" w:rsidR="009A5EB0" w:rsidRPr="007B44CF" w:rsidRDefault="009A5EB0" w:rsidP="009A5EB0">
            <w:pPr>
              <w:pStyle w:val="Default"/>
              <w:jc w:val="both"/>
              <w:rPr>
                <w:rFonts w:ascii="Cambria" w:eastAsia="Times New Roman" w:hAnsi="Cambria" w:cstheme="minorHAnsi"/>
                <w:i/>
                <w:iCs/>
                <w:color w:val="0070C0"/>
                <w:sz w:val="16"/>
                <w:szCs w:val="16"/>
                <w:lang w:val="es-ES" w:eastAsia="es-CO"/>
              </w:rPr>
            </w:pPr>
          </w:p>
          <w:p w14:paraId="74E33E79" w14:textId="6202FEEC" w:rsidR="009A5EB0" w:rsidRPr="000F0A0E" w:rsidRDefault="009A5EB0" w:rsidP="009A5EB0">
            <w:pPr>
              <w:jc w:val="both"/>
              <w:rPr>
                <w:rFonts w:ascii="Cambria" w:eastAsia="Times New Roman" w:hAnsi="Cambria" w:cstheme="minorHAnsi"/>
                <w:b/>
                <w:bCs/>
                <w:i/>
                <w:iCs/>
                <w:color w:val="0070C0"/>
                <w:sz w:val="16"/>
                <w:szCs w:val="16"/>
                <w:u w:val="single"/>
                <w:lang w:eastAsia="es-CO"/>
              </w:rPr>
            </w:pPr>
            <w:r w:rsidRPr="007B44CF">
              <w:rPr>
                <w:rFonts w:ascii="Cambria" w:eastAsia="Times New Roman" w:hAnsi="Cambria" w:cstheme="minorHAnsi"/>
                <w:i/>
                <w:iCs/>
                <w:color w:val="0070C0"/>
                <w:sz w:val="16"/>
                <w:szCs w:val="16"/>
                <w:lang w:eastAsia="es-CO"/>
              </w:rPr>
              <w:t>PARÁGRAFO 2. Las personas naturales podrán solicitar la aplicación de una tarifa de retención en la fuente superior a la determinada de conformidad con el presente artículo, para la cual deberá indicarla por escrito al respectivo pagador. El incremento en la tarifa de retención en la fuente será aplicable a partir del mes siguiente a la presentación de la solicitud.</w:t>
            </w:r>
            <w:r w:rsidR="0005782B" w:rsidRPr="007B44CF">
              <w:rPr>
                <w:rFonts w:ascii="Cambria" w:eastAsia="Times New Roman" w:hAnsi="Cambria" w:cstheme="minorHAnsi"/>
                <w:i/>
                <w:iCs/>
                <w:color w:val="0070C0"/>
                <w:sz w:val="16"/>
                <w:szCs w:val="16"/>
                <w:lang w:eastAsia="es-CO"/>
              </w:rPr>
              <w:t xml:space="preserve"> </w:t>
            </w:r>
            <w:r w:rsidR="0005782B" w:rsidRPr="000F0A0E">
              <w:rPr>
                <w:rFonts w:ascii="Cambria" w:eastAsia="Times New Roman" w:hAnsi="Cambria" w:cstheme="minorHAnsi"/>
                <w:b/>
                <w:bCs/>
                <w:i/>
                <w:iCs/>
                <w:color w:val="0070C0"/>
                <w:sz w:val="16"/>
                <w:szCs w:val="16"/>
                <w:highlight w:val="yellow"/>
                <w:u w:val="single"/>
                <w:lang w:eastAsia="es-CO"/>
              </w:rPr>
              <w:t xml:space="preserve">El gobierno podrá reglamentar una </w:t>
            </w:r>
            <w:r w:rsidRPr="000F0A0E">
              <w:rPr>
                <w:rFonts w:ascii="Cambria" w:eastAsia="Times New Roman" w:hAnsi="Cambria" w:cstheme="minorHAnsi"/>
                <w:b/>
                <w:bCs/>
                <w:i/>
                <w:iCs/>
                <w:color w:val="0070C0"/>
                <w:sz w:val="16"/>
                <w:szCs w:val="16"/>
                <w:highlight w:val="yellow"/>
                <w:u w:val="single"/>
                <w:lang w:eastAsia="es-CO"/>
              </w:rPr>
              <w:t xml:space="preserve"> </w:t>
            </w:r>
            <w:r w:rsidR="0005782B" w:rsidRPr="000F0A0E">
              <w:rPr>
                <w:rFonts w:ascii="Cambria" w:eastAsia="Times New Roman" w:hAnsi="Cambria" w:cstheme="minorHAnsi"/>
                <w:b/>
                <w:bCs/>
                <w:i/>
                <w:iCs/>
                <w:color w:val="0070C0"/>
                <w:sz w:val="16"/>
                <w:szCs w:val="16"/>
                <w:highlight w:val="yellow"/>
                <w:u w:val="single"/>
                <w:lang w:eastAsia="es-CO"/>
              </w:rPr>
              <w:t>retención diferente</w:t>
            </w:r>
          </w:p>
          <w:p w14:paraId="4CE09D5F" w14:textId="77777777" w:rsidR="009A5EB0" w:rsidRPr="007B44CF" w:rsidRDefault="009A5EB0" w:rsidP="009A5EB0">
            <w:pPr>
              <w:jc w:val="both"/>
              <w:rPr>
                <w:rFonts w:ascii="Cambria" w:eastAsia="Times New Roman" w:hAnsi="Cambria" w:cstheme="minorHAnsi"/>
                <w:i/>
                <w:iCs/>
                <w:color w:val="0070C0"/>
                <w:sz w:val="16"/>
                <w:szCs w:val="16"/>
                <w:lang w:eastAsia="es-CO"/>
              </w:rPr>
            </w:pPr>
          </w:p>
          <w:p w14:paraId="1CF59373" w14:textId="1D68F18E" w:rsidR="006F7927" w:rsidRPr="007B44CF" w:rsidRDefault="006F7927" w:rsidP="006F7927">
            <w:pPr>
              <w:jc w:val="both"/>
              <w:rPr>
                <w:rFonts w:ascii="Cambria" w:eastAsia="Times New Roman" w:hAnsi="Cambria" w:cstheme="minorHAnsi"/>
                <w:i/>
                <w:iCs/>
                <w:color w:val="0070C0"/>
                <w:sz w:val="16"/>
                <w:szCs w:val="16"/>
                <w:lang w:eastAsia="es-CO"/>
              </w:rPr>
            </w:pPr>
            <w:r w:rsidRPr="007B44CF">
              <w:rPr>
                <w:rFonts w:ascii="Cambria" w:eastAsia="Times New Roman" w:hAnsi="Cambria" w:cstheme="minorHAnsi"/>
                <w:i/>
                <w:iCs/>
                <w:color w:val="0070C0"/>
                <w:sz w:val="16"/>
                <w:szCs w:val="16"/>
                <w:lang w:eastAsia="es-CO"/>
              </w:rPr>
              <w:t>PARÁGRAFO 3. La retención en la fuente de que trata el presente artículo no será aplicable a los pagos recibidos por concepto de pensiones de jubilación, invalidez, vejez, de sobrevivientes y sobre riesgos laborales que correspondan a rentas exentas, en los términos del artículo 206 de este Estatuto.</w:t>
            </w:r>
          </w:p>
          <w:p w14:paraId="4A5D29AE" w14:textId="77777777" w:rsidR="009A5EB0" w:rsidRPr="007B44CF" w:rsidRDefault="009A5EB0" w:rsidP="009A5EB0">
            <w:pPr>
              <w:pStyle w:val="Default"/>
              <w:jc w:val="both"/>
              <w:rPr>
                <w:rFonts w:ascii="Cambria" w:eastAsia="Times New Roman" w:hAnsi="Cambria" w:cstheme="minorHAnsi"/>
                <w:i/>
                <w:iCs/>
                <w:color w:val="0070C0"/>
                <w:sz w:val="16"/>
                <w:szCs w:val="16"/>
                <w:lang w:eastAsia="es-CO"/>
              </w:rPr>
            </w:pPr>
          </w:p>
          <w:p w14:paraId="0CCF4052" w14:textId="77777777" w:rsidR="006F7927" w:rsidRPr="000F0A0E" w:rsidRDefault="006F7927" w:rsidP="006F7927">
            <w:pPr>
              <w:jc w:val="both"/>
              <w:rPr>
                <w:rFonts w:ascii="Cambria" w:eastAsia="Times New Roman" w:hAnsi="Cambria" w:cstheme="minorHAnsi"/>
                <w:b/>
                <w:bCs/>
                <w:i/>
                <w:iCs/>
                <w:color w:val="0070C0"/>
                <w:sz w:val="16"/>
                <w:szCs w:val="16"/>
                <w:u w:val="single"/>
                <w:lang w:eastAsia="es-CO"/>
              </w:rPr>
            </w:pPr>
            <w:r w:rsidRPr="000F0A0E">
              <w:rPr>
                <w:rFonts w:ascii="Cambria" w:eastAsia="Times New Roman" w:hAnsi="Cambria" w:cstheme="minorHAnsi"/>
                <w:b/>
                <w:bCs/>
                <w:i/>
                <w:iCs/>
                <w:color w:val="0070C0"/>
                <w:sz w:val="16"/>
                <w:szCs w:val="16"/>
                <w:highlight w:val="yellow"/>
                <w:u w:val="single"/>
                <w:lang w:eastAsia="es-CO"/>
              </w:rPr>
              <w:t>PARÁGRAFO 4. Cuando más del 80% de los ingresos del trabajador corresponda a rentas de trabajo, y la declaración de renta le genere saldo a favor producto de las retenciones en la fuente practicadas, la DIAN le realizará la devolución automática y de oficio del saldo a favor dentro de los noventa (90) días, sobre aquellos contribuyentes que declararon oportunamente, de conformidad con el procedimiento previsto en el inciso 2 del artículo 851 del Estatuto Tributario. El término se comienza a contar a partir del día siguiente a la última fecha del vencimiento del calendario para declarar el impuesto sobre la renta de personas naturales.</w:t>
            </w:r>
            <w:r w:rsidRPr="000F0A0E">
              <w:rPr>
                <w:rFonts w:ascii="Cambria" w:eastAsia="Times New Roman" w:hAnsi="Cambria" w:cstheme="minorHAnsi"/>
                <w:b/>
                <w:bCs/>
                <w:i/>
                <w:iCs/>
                <w:color w:val="0070C0"/>
                <w:sz w:val="16"/>
                <w:szCs w:val="16"/>
                <w:u w:val="single"/>
                <w:lang w:eastAsia="es-CO"/>
              </w:rPr>
              <w:t xml:space="preserve"> </w:t>
            </w:r>
          </w:p>
          <w:p w14:paraId="05E34BA8" w14:textId="77777777" w:rsidR="006F7927" w:rsidRPr="007B44CF" w:rsidRDefault="006F7927" w:rsidP="006F7927">
            <w:pPr>
              <w:jc w:val="both"/>
              <w:rPr>
                <w:rFonts w:ascii="Cambria" w:eastAsia="Times New Roman" w:hAnsi="Cambria" w:cstheme="minorHAnsi"/>
                <w:i/>
                <w:iCs/>
                <w:color w:val="0070C0"/>
                <w:sz w:val="16"/>
                <w:szCs w:val="16"/>
                <w:lang w:eastAsia="es-CO"/>
              </w:rPr>
            </w:pPr>
          </w:p>
          <w:p w14:paraId="7BDA128B" w14:textId="6707486E" w:rsidR="006F7927" w:rsidRPr="000F0A0E" w:rsidRDefault="006F7927" w:rsidP="006F7927">
            <w:pPr>
              <w:jc w:val="both"/>
              <w:rPr>
                <w:rFonts w:ascii="Cambria" w:eastAsia="Times New Roman" w:hAnsi="Cambria" w:cstheme="minorHAnsi"/>
                <w:b/>
                <w:bCs/>
                <w:i/>
                <w:iCs/>
                <w:color w:val="0070C0"/>
                <w:sz w:val="16"/>
                <w:szCs w:val="16"/>
                <w:u w:val="single"/>
                <w:lang w:eastAsia="es-CO"/>
              </w:rPr>
            </w:pPr>
            <w:r w:rsidRPr="007B44CF">
              <w:rPr>
                <w:rFonts w:ascii="Cambria" w:eastAsia="Times New Roman" w:hAnsi="Cambria" w:cstheme="minorHAnsi"/>
                <w:i/>
                <w:iCs/>
                <w:color w:val="0070C0"/>
                <w:sz w:val="16"/>
                <w:szCs w:val="16"/>
                <w:lang w:eastAsia="es-CO"/>
              </w:rPr>
              <w:t xml:space="preserve">PARÁGRAFO TRANSITORIO. La retención en la fuente de que trata el presente artículo se aplicará a partir del 1 de </w:t>
            </w:r>
            <w:r w:rsidRPr="000F0A0E">
              <w:rPr>
                <w:rFonts w:ascii="Cambria" w:eastAsia="Times New Roman" w:hAnsi="Cambria" w:cstheme="minorHAnsi"/>
                <w:b/>
                <w:bCs/>
                <w:i/>
                <w:iCs/>
                <w:color w:val="0070C0"/>
                <w:sz w:val="16"/>
                <w:szCs w:val="16"/>
                <w:highlight w:val="yellow"/>
                <w:u w:val="single"/>
                <w:lang w:eastAsia="es-CO"/>
              </w:rPr>
              <w:t xml:space="preserve"> </w:t>
            </w:r>
            <w:r w:rsidR="001B4295">
              <w:rPr>
                <w:rFonts w:ascii="Cambria" w:eastAsia="Times New Roman" w:hAnsi="Cambria" w:cstheme="minorHAnsi"/>
                <w:b/>
                <w:bCs/>
                <w:i/>
                <w:iCs/>
                <w:color w:val="0070C0"/>
                <w:sz w:val="16"/>
                <w:szCs w:val="16"/>
                <w:highlight w:val="yellow"/>
                <w:u w:val="single"/>
                <w:lang w:eastAsia="es-CO"/>
              </w:rPr>
              <w:t xml:space="preserve">julio </w:t>
            </w:r>
            <w:r w:rsidRPr="000F0A0E">
              <w:rPr>
                <w:rFonts w:ascii="Cambria" w:eastAsia="Times New Roman" w:hAnsi="Cambria" w:cstheme="minorHAnsi"/>
                <w:b/>
                <w:bCs/>
                <w:i/>
                <w:iCs/>
                <w:color w:val="0070C0"/>
                <w:sz w:val="16"/>
                <w:szCs w:val="16"/>
                <w:highlight w:val="yellow"/>
                <w:u w:val="single"/>
                <w:lang w:eastAsia="es-CO"/>
              </w:rPr>
              <w:t>de 202</w:t>
            </w:r>
            <w:r w:rsidR="001B4295">
              <w:rPr>
                <w:rFonts w:ascii="Cambria" w:eastAsia="Times New Roman" w:hAnsi="Cambria" w:cstheme="minorHAnsi"/>
                <w:b/>
                <w:bCs/>
                <w:i/>
                <w:iCs/>
                <w:color w:val="0070C0"/>
                <w:sz w:val="16"/>
                <w:szCs w:val="16"/>
                <w:highlight w:val="yellow"/>
                <w:u w:val="single"/>
                <w:lang w:eastAsia="es-CO"/>
              </w:rPr>
              <w:t>6</w:t>
            </w:r>
            <w:r w:rsidRPr="007B44CF">
              <w:rPr>
                <w:rFonts w:ascii="Cambria" w:eastAsia="Times New Roman" w:hAnsi="Cambria" w:cstheme="minorHAnsi"/>
                <w:i/>
                <w:iCs/>
                <w:color w:val="0070C0"/>
                <w:sz w:val="16"/>
                <w:szCs w:val="16"/>
                <w:lang w:eastAsia="es-CO"/>
              </w:rPr>
              <w:t xml:space="preserve">; en el entre tanto se aplicará el sistema de retención aplicable antes de la entrada en vigencia de esta </w:t>
            </w:r>
            <w:r w:rsidRPr="000F0A0E">
              <w:rPr>
                <w:rFonts w:ascii="Cambria" w:eastAsia="Times New Roman" w:hAnsi="Cambria" w:cstheme="minorHAnsi"/>
                <w:b/>
                <w:bCs/>
                <w:i/>
                <w:iCs/>
                <w:color w:val="0070C0"/>
                <w:sz w:val="16"/>
                <w:szCs w:val="16"/>
                <w:highlight w:val="yellow"/>
                <w:u w:val="single"/>
                <w:lang w:eastAsia="es-CO"/>
              </w:rPr>
              <w:t>norma o si el trabajador solicita la aplicación anticipada el agente retenedor aplicará esta nueva disposición.</w:t>
            </w:r>
            <w:r w:rsidRPr="000F0A0E">
              <w:rPr>
                <w:rFonts w:ascii="Cambria" w:eastAsia="Times New Roman" w:hAnsi="Cambria" w:cstheme="minorHAnsi"/>
                <w:b/>
                <w:bCs/>
                <w:i/>
                <w:iCs/>
                <w:color w:val="0070C0"/>
                <w:sz w:val="16"/>
                <w:szCs w:val="16"/>
                <w:u w:val="single"/>
                <w:lang w:eastAsia="es-CO"/>
              </w:rPr>
              <w:t xml:space="preserve">  </w:t>
            </w:r>
          </w:p>
          <w:p w14:paraId="650C5C2D" w14:textId="77777777" w:rsidR="006F7927" w:rsidRPr="007B44CF" w:rsidRDefault="006F7927" w:rsidP="009A5EB0">
            <w:pPr>
              <w:pStyle w:val="Default"/>
              <w:jc w:val="both"/>
              <w:rPr>
                <w:rFonts w:ascii="Cambria" w:eastAsia="Times New Roman" w:hAnsi="Cambria" w:cstheme="minorHAnsi"/>
                <w:i/>
                <w:iCs/>
                <w:color w:val="0070C0"/>
                <w:sz w:val="16"/>
                <w:szCs w:val="16"/>
                <w:lang w:eastAsia="es-CO"/>
              </w:rPr>
            </w:pPr>
          </w:p>
          <w:p w14:paraId="7830EB44" w14:textId="77777777" w:rsidR="006F7927" w:rsidRPr="007B44CF" w:rsidRDefault="006F7927" w:rsidP="009A5EB0">
            <w:pPr>
              <w:pStyle w:val="Default"/>
              <w:jc w:val="both"/>
              <w:rPr>
                <w:rFonts w:ascii="Cambria" w:eastAsia="Times New Roman" w:hAnsi="Cambria" w:cstheme="minorHAnsi"/>
                <w:i/>
                <w:iCs/>
                <w:color w:val="0070C0"/>
                <w:sz w:val="16"/>
                <w:szCs w:val="16"/>
                <w:lang w:eastAsia="es-CO"/>
              </w:rPr>
            </w:pPr>
          </w:p>
          <w:p w14:paraId="0EA2F74A" w14:textId="77777777" w:rsidR="006F7927" w:rsidRPr="007B44CF" w:rsidRDefault="006F7927" w:rsidP="009A5EB0">
            <w:pPr>
              <w:pStyle w:val="Default"/>
              <w:jc w:val="both"/>
              <w:rPr>
                <w:rFonts w:ascii="Cambria" w:eastAsia="Times New Roman" w:hAnsi="Cambria" w:cstheme="minorHAnsi"/>
                <w:i/>
                <w:iCs/>
                <w:color w:val="0070C0"/>
                <w:sz w:val="16"/>
                <w:szCs w:val="16"/>
                <w:lang w:val="es-ES_tradnl" w:eastAsia="es-CO"/>
              </w:rPr>
            </w:pPr>
          </w:p>
          <w:p w14:paraId="756950AB" w14:textId="77777777" w:rsidR="009A5EB0" w:rsidRPr="007B44CF" w:rsidRDefault="009A5EB0" w:rsidP="006F7927">
            <w:pPr>
              <w:jc w:val="both"/>
              <w:rPr>
                <w:rFonts w:ascii="Cambria" w:hAnsi="Cambria" w:cs="Arial"/>
                <w:i/>
                <w:iCs/>
                <w:color w:val="0070C0"/>
                <w:sz w:val="16"/>
                <w:szCs w:val="16"/>
              </w:rPr>
            </w:pPr>
          </w:p>
        </w:tc>
      </w:tr>
      <w:tr w:rsidR="009A5EB0" w14:paraId="1A8C30DF" w14:textId="77777777" w:rsidTr="00FD286E">
        <w:tc>
          <w:tcPr>
            <w:tcW w:w="4414" w:type="dxa"/>
          </w:tcPr>
          <w:p w14:paraId="51C9C71C" w14:textId="77777777" w:rsidR="009A5EB0" w:rsidRPr="00206EB9" w:rsidRDefault="009A5EB0" w:rsidP="009A5EB0">
            <w:pPr>
              <w:jc w:val="both"/>
              <w:rPr>
                <w:rFonts w:ascii="Cambria" w:eastAsia="Times New Roman" w:hAnsi="Cambria" w:cstheme="minorHAnsi"/>
                <w:b/>
                <w:bCs/>
                <w:i/>
                <w:iCs/>
                <w:color w:val="0070C0"/>
                <w:sz w:val="16"/>
                <w:szCs w:val="16"/>
                <w:u w:val="single"/>
                <w:lang w:eastAsia="es-CO"/>
              </w:rPr>
            </w:pPr>
            <w:bookmarkStart w:id="0" w:name="385"/>
            <w:r>
              <w:rPr>
                <w:rFonts w:ascii="Cambria" w:eastAsia="Times New Roman" w:hAnsi="Cambria" w:cstheme="minorHAnsi"/>
                <w:b/>
                <w:bCs/>
                <w:i/>
                <w:iCs/>
                <w:color w:val="0070C0"/>
                <w:sz w:val="16"/>
                <w:szCs w:val="16"/>
                <w:lang w:eastAsia="es-CO"/>
              </w:rPr>
              <w:lastRenderedPageBreak/>
              <w:t>“</w:t>
            </w:r>
            <w:r w:rsidRPr="00304313">
              <w:rPr>
                <w:rFonts w:ascii="Cambria" w:eastAsia="Times New Roman" w:hAnsi="Cambria" w:cstheme="minorHAnsi"/>
                <w:b/>
                <w:bCs/>
                <w:i/>
                <w:iCs/>
                <w:color w:val="0070C0"/>
                <w:sz w:val="16"/>
                <w:szCs w:val="16"/>
                <w:lang w:eastAsia="es-CO"/>
              </w:rPr>
              <w:t>Articulo 385.</w:t>
            </w:r>
            <w:r w:rsidRPr="00304313">
              <w:rPr>
                <w:rFonts w:ascii="Cambria" w:eastAsia="Times New Roman" w:hAnsi="Cambria" w:cstheme="minorHAnsi"/>
                <w:i/>
                <w:iCs/>
                <w:color w:val="0070C0"/>
                <w:sz w:val="16"/>
                <w:szCs w:val="16"/>
                <w:lang w:eastAsia="es-CO"/>
              </w:rPr>
              <w:t xml:space="preserve"> </w:t>
            </w:r>
            <w:r w:rsidRPr="008266A1">
              <w:rPr>
                <w:rFonts w:ascii="Cambria" w:eastAsia="Times New Roman" w:hAnsi="Cambria" w:cstheme="minorHAnsi"/>
                <w:b/>
                <w:bCs/>
                <w:i/>
                <w:iCs/>
                <w:color w:val="0070C0"/>
                <w:sz w:val="16"/>
                <w:szCs w:val="16"/>
                <w:highlight w:val="yellow"/>
                <w:u w:val="single"/>
                <w:lang w:eastAsia="es-CO"/>
              </w:rPr>
              <w:t>Primera opción frente a la retención</w:t>
            </w:r>
            <w:r w:rsidRPr="00304313">
              <w:rPr>
                <w:rFonts w:ascii="Cambria" w:eastAsia="Times New Roman" w:hAnsi="Cambria" w:cstheme="minorHAnsi"/>
                <w:i/>
                <w:iCs/>
                <w:color w:val="0070C0"/>
                <w:sz w:val="16"/>
                <w:szCs w:val="16"/>
                <w:lang w:eastAsia="es-CO"/>
              </w:rPr>
              <w:t>.</w:t>
            </w:r>
            <w:bookmarkEnd w:id="0"/>
            <w:r w:rsidRPr="00304313">
              <w:rPr>
                <w:rFonts w:ascii="Cambria" w:eastAsia="Times New Roman" w:hAnsi="Cambria" w:cstheme="minorHAnsi"/>
                <w:i/>
                <w:iCs/>
                <w:color w:val="0070C0"/>
                <w:sz w:val="16"/>
                <w:szCs w:val="16"/>
                <w:lang w:eastAsia="es-CO"/>
              </w:rPr>
              <w:t>  Para efectos de la retención en la fuente, el retenedor deberá aplicar el procedimiento establecido en este artículo</w:t>
            </w:r>
            <w:r w:rsidRPr="00206EB9">
              <w:rPr>
                <w:rFonts w:ascii="Cambria" w:eastAsia="Times New Roman" w:hAnsi="Cambria" w:cstheme="minorHAnsi"/>
                <w:b/>
                <w:bCs/>
                <w:i/>
                <w:iCs/>
                <w:color w:val="0070C0"/>
                <w:sz w:val="16"/>
                <w:szCs w:val="16"/>
                <w:highlight w:val="yellow"/>
                <w:u w:val="single"/>
                <w:lang w:eastAsia="es-CO"/>
              </w:rPr>
              <w:t>, o en el artículo siguiente:</w:t>
            </w:r>
          </w:p>
          <w:p w14:paraId="44E84ED8" w14:textId="77777777" w:rsidR="009A5EB0" w:rsidRDefault="009A5EB0" w:rsidP="009A5EB0">
            <w:pPr>
              <w:jc w:val="both"/>
              <w:rPr>
                <w:rFonts w:ascii="Cambria" w:eastAsia="Times New Roman" w:hAnsi="Cambria" w:cstheme="minorHAnsi"/>
                <w:b/>
                <w:bCs/>
                <w:i/>
                <w:iCs/>
                <w:color w:val="0070C0"/>
                <w:sz w:val="16"/>
                <w:szCs w:val="16"/>
                <w:u w:val="single"/>
                <w:lang w:eastAsia="es-CO"/>
              </w:rPr>
            </w:pPr>
          </w:p>
          <w:p w14:paraId="1F258DDC" w14:textId="77777777" w:rsidR="009A5EB0" w:rsidRPr="00206EB9" w:rsidRDefault="009A5EB0" w:rsidP="009A5EB0">
            <w:pPr>
              <w:jc w:val="both"/>
              <w:rPr>
                <w:rFonts w:ascii="Cambria" w:eastAsia="Times New Roman" w:hAnsi="Cambria" w:cstheme="minorHAnsi"/>
                <w:b/>
                <w:bCs/>
                <w:i/>
                <w:iCs/>
                <w:color w:val="0070C0"/>
                <w:sz w:val="16"/>
                <w:szCs w:val="16"/>
                <w:u w:val="single"/>
                <w:lang w:eastAsia="es-CO"/>
              </w:rPr>
            </w:pPr>
          </w:p>
          <w:p w14:paraId="7EBFFF25"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206EB9">
              <w:rPr>
                <w:rFonts w:ascii="Cambria" w:eastAsia="Times New Roman" w:hAnsi="Cambria" w:cstheme="minorHAnsi"/>
                <w:b/>
                <w:bCs/>
                <w:i/>
                <w:iCs/>
                <w:color w:val="0070C0"/>
                <w:sz w:val="16"/>
                <w:szCs w:val="16"/>
                <w:highlight w:val="yellow"/>
                <w:u w:val="single"/>
                <w:lang w:eastAsia="es-CO"/>
              </w:rPr>
              <w:t>Procedimiento 1.</w:t>
            </w:r>
            <w:r w:rsidRPr="00206EB9">
              <w:rPr>
                <w:rFonts w:ascii="Cambria" w:eastAsia="Times New Roman" w:hAnsi="Cambria" w:cstheme="minorHAnsi"/>
                <w:b/>
                <w:bCs/>
                <w:i/>
                <w:iCs/>
                <w:color w:val="0070C0"/>
                <w:sz w:val="16"/>
                <w:szCs w:val="16"/>
                <w:u w:val="single"/>
                <w:lang w:eastAsia="es-CO"/>
              </w:rPr>
              <w:t xml:space="preserve"> </w:t>
            </w:r>
            <w:r w:rsidRPr="00304313">
              <w:rPr>
                <w:rFonts w:ascii="Cambria" w:eastAsia="Times New Roman" w:hAnsi="Cambria" w:cstheme="minorHAnsi"/>
                <w:i/>
                <w:iCs/>
                <w:color w:val="0070C0"/>
                <w:sz w:val="16"/>
                <w:szCs w:val="16"/>
                <w:lang w:eastAsia="es-CO"/>
              </w:rPr>
              <w:t>Con relación a los pagos  gravables diferentes de la cesantía, los intereses sobre cesantía, y la prima mínima legal de servicios del sector privado o de navidad del sector público, el "valor a retener" mensualmente es el indicado frente al intervalo de la tabla al cual correspondan la totalidad de dichos pagos  que se hagan al trabajador, directa o indirectamente, durante el respectivo mes. Si tales pagos  se realizan por períodos inferiores a treinta (30) días, su retención podrá calcularse así:</w:t>
            </w:r>
          </w:p>
          <w:p w14:paraId="26AC208F"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3469DA01" w14:textId="77777777" w:rsidR="009A5EB0" w:rsidRPr="00304313" w:rsidRDefault="009A5EB0" w:rsidP="009A5EB0">
            <w:pPr>
              <w:jc w:val="both"/>
              <w:rPr>
                <w:rFonts w:ascii="Cambria" w:eastAsia="Times New Roman" w:hAnsi="Cambria" w:cstheme="minorHAnsi"/>
                <w:i/>
                <w:iCs/>
                <w:color w:val="0070C0"/>
                <w:sz w:val="16"/>
                <w:szCs w:val="16"/>
                <w:lang w:eastAsia="es-CO"/>
              </w:rPr>
            </w:pPr>
            <w:proofErr w:type="spellStart"/>
            <w:r w:rsidRPr="00304313">
              <w:rPr>
                <w:rFonts w:ascii="Cambria" w:eastAsia="Times New Roman" w:hAnsi="Cambria" w:cstheme="minorHAnsi"/>
                <w:i/>
                <w:iCs/>
                <w:color w:val="0070C0"/>
                <w:sz w:val="16"/>
                <w:szCs w:val="16"/>
                <w:lang w:eastAsia="es-CO"/>
              </w:rPr>
              <w:t>a.El</w:t>
            </w:r>
            <w:proofErr w:type="spellEnd"/>
            <w:r w:rsidRPr="00304313">
              <w:rPr>
                <w:rFonts w:ascii="Cambria" w:eastAsia="Times New Roman" w:hAnsi="Cambria" w:cstheme="minorHAnsi"/>
                <w:i/>
                <w:iCs/>
                <w:color w:val="0070C0"/>
                <w:sz w:val="16"/>
                <w:szCs w:val="16"/>
                <w:lang w:eastAsia="es-CO"/>
              </w:rPr>
              <w:t xml:space="preserve"> valor total de los pagos gravables, recibidos directa o indirectamente por el trabajador en el respectivo período, se divide por el número de días a que correspondan tales pagos  y su resultado se multiplica por 30;</w:t>
            </w:r>
          </w:p>
          <w:p w14:paraId="5BDD19D9"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4C359098"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lastRenderedPageBreak/>
              <w:t>b. Se determina el porcentaje de retención que figure en la tabla frente al valor obtenido de acuerdo con lo previsto en el literal anterior y dicho porcentaje se aplica a la totalidad de los pagos  gravables recibidos directa o indirectamente por el trabajador en el respectivo período. La cifra resultante será el "valor a retener".</w:t>
            </w:r>
          </w:p>
          <w:p w14:paraId="3DF8ED3D"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11B204B8" w14:textId="77777777" w:rsidR="009A5EB0" w:rsidRPr="00206EB9" w:rsidRDefault="009A5EB0" w:rsidP="009A5EB0">
            <w:pPr>
              <w:jc w:val="both"/>
              <w:rPr>
                <w:rFonts w:ascii="Cambria" w:eastAsia="Times New Roman" w:hAnsi="Cambria" w:cstheme="minorHAnsi"/>
                <w:b/>
                <w:bCs/>
                <w:i/>
                <w:iCs/>
                <w:color w:val="0070C0"/>
                <w:sz w:val="16"/>
                <w:szCs w:val="16"/>
                <w:u w:val="single"/>
                <w:lang w:eastAsia="es-CO"/>
              </w:rPr>
            </w:pPr>
            <w:r w:rsidRPr="00304313">
              <w:rPr>
                <w:rFonts w:ascii="Cambria" w:eastAsia="Times New Roman" w:hAnsi="Cambria" w:cstheme="minorHAnsi"/>
                <w:i/>
                <w:iCs/>
                <w:color w:val="0070C0"/>
                <w:sz w:val="16"/>
                <w:szCs w:val="16"/>
                <w:lang w:eastAsia="es-CO"/>
              </w:rPr>
              <w:t xml:space="preserve">Cuando se trate de la prima mínima legal de servicios del sector privado, o de navidad del sector público, el "valor a retener" es el que figure frente al intervalo al cual corresponda </w:t>
            </w:r>
            <w:r w:rsidRPr="00206EB9">
              <w:rPr>
                <w:rFonts w:ascii="Cambria" w:eastAsia="Times New Roman" w:hAnsi="Cambria" w:cstheme="minorHAnsi"/>
                <w:b/>
                <w:bCs/>
                <w:i/>
                <w:iCs/>
                <w:color w:val="0070C0"/>
                <w:sz w:val="16"/>
                <w:szCs w:val="16"/>
                <w:highlight w:val="yellow"/>
                <w:u w:val="single"/>
                <w:lang w:eastAsia="es-CO"/>
              </w:rPr>
              <w:t>la respectiva prima.”</w:t>
            </w:r>
          </w:p>
          <w:p w14:paraId="756BCC39" w14:textId="77777777" w:rsidR="009A5EB0" w:rsidRPr="00304313" w:rsidRDefault="009A5EB0" w:rsidP="009A5EB0">
            <w:pPr>
              <w:jc w:val="both"/>
              <w:rPr>
                <w:rFonts w:ascii="Cambria" w:eastAsia="Times New Roman" w:hAnsi="Cambria" w:cstheme="minorHAnsi"/>
                <w:i/>
                <w:iCs/>
                <w:color w:val="0070C0"/>
                <w:sz w:val="16"/>
                <w:szCs w:val="16"/>
                <w:lang w:eastAsia="es-CO"/>
              </w:rPr>
            </w:pPr>
          </w:p>
        </w:tc>
        <w:tc>
          <w:tcPr>
            <w:tcW w:w="4414" w:type="dxa"/>
          </w:tcPr>
          <w:p w14:paraId="4386AE8D" w14:textId="6E2BDCAD" w:rsidR="009A5EB0" w:rsidRDefault="009A5EB0" w:rsidP="009A5EB0">
            <w:pPr>
              <w:jc w:val="both"/>
              <w:rPr>
                <w:rFonts w:ascii="Cambria" w:eastAsia="Times New Roman" w:hAnsi="Cambria" w:cstheme="minorHAnsi"/>
                <w:i/>
                <w:iCs/>
                <w:color w:val="0070C0"/>
                <w:sz w:val="16"/>
                <w:szCs w:val="16"/>
                <w:lang w:eastAsia="es-CO"/>
              </w:rPr>
            </w:pPr>
            <w:r>
              <w:rPr>
                <w:rFonts w:ascii="Cambria" w:eastAsia="Times New Roman" w:hAnsi="Cambria" w:cstheme="minorHAnsi"/>
                <w:b/>
                <w:bCs/>
                <w:i/>
                <w:iCs/>
                <w:color w:val="0070C0"/>
                <w:sz w:val="16"/>
                <w:szCs w:val="16"/>
                <w:lang w:eastAsia="es-CO"/>
              </w:rPr>
              <w:lastRenderedPageBreak/>
              <w:t>“</w:t>
            </w:r>
            <w:r w:rsidRPr="00304313">
              <w:rPr>
                <w:rFonts w:ascii="Cambria" w:eastAsia="Times New Roman" w:hAnsi="Cambria" w:cstheme="minorHAnsi"/>
                <w:b/>
                <w:bCs/>
                <w:i/>
                <w:iCs/>
                <w:color w:val="0070C0"/>
                <w:sz w:val="16"/>
                <w:szCs w:val="16"/>
                <w:lang w:eastAsia="es-CO"/>
              </w:rPr>
              <w:t>Articulo 385.</w:t>
            </w:r>
            <w:r w:rsidRPr="00304313">
              <w:rPr>
                <w:rFonts w:ascii="Cambria" w:eastAsia="Times New Roman" w:hAnsi="Cambria" w:cstheme="minorHAnsi"/>
                <w:i/>
                <w:iCs/>
                <w:color w:val="0070C0"/>
                <w:sz w:val="16"/>
                <w:szCs w:val="16"/>
                <w:lang w:eastAsia="es-CO"/>
              </w:rPr>
              <w:t xml:space="preserve"> </w:t>
            </w:r>
            <w:r w:rsidRPr="008266A1">
              <w:rPr>
                <w:rFonts w:ascii="Cambria" w:eastAsia="Times New Roman" w:hAnsi="Cambria" w:cstheme="minorHAnsi"/>
                <w:b/>
                <w:bCs/>
                <w:i/>
                <w:iCs/>
                <w:color w:val="0070C0"/>
                <w:sz w:val="16"/>
                <w:szCs w:val="16"/>
                <w:highlight w:val="yellow"/>
                <w:u w:val="single"/>
                <w:lang w:eastAsia="es-CO"/>
              </w:rPr>
              <w:t>Procedimiento para determinar la base de retención.</w:t>
            </w:r>
            <w:r w:rsidRPr="008266A1">
              <w:rPr>
                <w:rFonts w:ascii="Cambria" w:eastAsia="Times New Roman" w:hAnsi="Cambria" w:cstheme="minorHAnsi"/>
                <w:i/>
                <w:iCs/>
                <w:color w:val="0070C0"/>
                <w:sz w:val="16"/>
                <w:szCs w:val="16"/>
                <w:u w:val="single"/>
                <w:lang w:eastAsia="es-CO"/>
              </w:rPr>
              <w:t> </w:t>
            </w:r>
            <w:r w:rsidRPr="00304313">
              <w:rPr>
                <w:rFonts w:ascii="Cambria" w:eastAsia="Times New Roman" w:hAnsi="Cambria" w:cstheme="minorHAnsi"/>
                <w:i/>
                <w:iCs/>
                <w:color w:val="0070C0"/>
                <w:sz w:val="16"/>
                <w:szCs w:val="16"/>
                <w:lang w:eastAsia="es-CO"/>
              </w:rPr>
              <w:t xml:space="preserve"> </w:t>
            </w:r>
            <w:r w:rsidRPr="00304313">
              <w:rPr>
                <w:rFonts w:ascii="Cambria" w:eastAsia="Times New Roman" w:hAnsi="Cambria" w:cstheme="minorHAnsi"/>
                <w:b/>
                <w:i/>
                <w:iCs/>
                <w:color w:val="FF0000"/>
                <w:sz w:val="16"/>
                <w:szCs w:val="16"/>
                <w:lang w:eastAsia="es-CO"/>
              </w:rPr>
              <w:t>(se modificaría con el artículo 2</w:t>
            </w:r>
            <w:r w:rsidR="001B4295">
              <w:rPr>
                <w:rFonts w:ascii="Cambria" w:eastAsia="Times New Roman" w:hAnsi="Cambria" w:cstheme="minorHAnsi"/>
                <w:b/>
                <w:i/>
                <w:iCs/>
                <w:color w:val="FF0000"/>
                <w:sz w:val="16"/>
                <w:szCs w:val="16"/>
                <w:lang w:eastAsia="es-CO"/>
              </w:rPr>
              <w:t>4</w:t>
            </w:r>
            <w:r w:rsidRPr="00304313">
              <w:rPr>
                <w:rFonts w:ascii="Cambria" w:eastAsia="Times New Roman" w:hAnsi="Cambria" w:cstheme="minorHAnsi"/>
                <w:b/>
                <w:i/>
                <w:iCs/>
                <w:color w:val="FF0000"/>
                <w:sz w:val="16"/>
                <w:szCs w:val="16"/>
                <w:lang w:eastAsia="es-CO"/>
              </w:rPr>
              <w:t xml:space="preserve"> del proyecto de Ley</w:t>
            </w:r>
            <w:r>
              <w:rPr>
                <w:rFonts w:ascii="Cambria" w:eastAsia="Times New Roman" w:hAnsi="Cambria" w:cstheme="minorHAnsi"/>
                <w:b/>
                <w:i/>
                <w:iCs/>
                <w:color w:val="0070C0"/>
                <w:sz w:val="16"/>
                <w:szCs w:val="16"/>
                <w:lang w:eastAsia="es-CO"/>
              </w:rPr>
              <w:t xml:space="preserve">). </w:t>
            </w:r>
            <w:r w:rsidRPr="00304313">
              <w:rPr>
                <w:rFonts w:ascii="Cambria" w:eastAsia="Times New Roman" w:hAnsi="Cambria" w:cstheme="minorHAnsi"/>
                <w:i/>
                <w:iCs/>
                <w:color w:val="0070C0"/>
                <w:sz w:val="16"/>
                <w:szCs w:val="16"/>
                <w:lang w:eastAsia="es-CO"/>
              </w:rPr>
              <w:t>Para efectos de la retención en la fuente, el retenedor deberá aplicar el procedimiento establecido en este artículo</w:t>
            </w:r>
            <w:r>
              <w:rPr>
                <w:rFonts w:ascii="Cambria" w:eastAsia="Times New Roman" w:hAnsi="Cambria" w:cstheme="minorHAnsi"/>
                <w:i/>
                <w:iCs/>
                <w:color w:val="0070C0"/>
                <w:sz w:val="16"/>
                <w:szCs w:val="16"/>
                <w:lang w:eastAsia="es-CO"/>
              </w:rPr>
              <w:t>.</w:t>
            </w:r>
          </w:p>
          <w:p w14:paraId="20E33D34" w14:textId="77777777" w:rsidR="009A5EB0" w:rsidRDefault="009A5EB0" w:rsidP="009A5EB0">
            <w:pPr>
              <w:jc w:val="both"/>
              <w:rPr>
                <w:rFonts w:ascii="Cambria" w:eastAsia="Times New Roman" w:hAnsi="Cambria" w:cstheme="minorHAnsi"/>
                <w:i/>
                <w:iCs/>
                <w:color w:val="0070C0"/>
                <w:sz w:val="16"/>
                <w:szCs w:val="16"/>
                <w:lang w:eastAsia="es-CO"/>
              </w:rPr>
            </w:pPr>
          </w:p>
          <w:p w14:paraId="48AFAF89"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 xml:space="preserve"> </w:t>
            </w:r>
          </w:p>
          <w:p w14:paraId="16EDE4BA"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Con relación a los pagos  gravables diferentes de la cesantía, los intereses sobre cesantía, y la prima mínima legal de servicios del sector privado o de navidad del sector público, el "valor a retener" mensualmente es el indicado frente al intervalo de la tabla al cual correspondan la totalidad de dichos pagos  que se hagan al trabajador, directa o indirectamente, durante el respectivo mes. Si tales pagos  se realizan por períodos inferiores a treinta (30) días, su retención podrá calcularse así:</w:t>
            </w:r>
          </w:p>
          <w:p w14:paraId="3F6C71C3" w14:textId="77777777" w:rsidR="009A5EB0" w:rsidRDefault="009A5EB0" w:rsidP="009A5EB0">
            <w:pPr>
              <w:jc w:val="both"/>
              <w:rPr>
                <w:rFonts w:ascii="Cambria" w:eastAsia="Times New Roman" w:hAnsi="Cambria" w:cstheme="minorHAnsi"/>
                <w:i/>
                <w:iCs/>
                <w:color w:val="0070C0"/>
                <w:sz w:val="16"/>
                <w:szCs w:val="16"/>
                <w:lang w:eastAsia="es-CO"/>
              </w:rPr>
            </w:pPr>
          </w:p>
          <w:p w14:paraId="3E55168A"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614E77A9" w14:textId="77777777" w:rsidR="009A5EB0" w:rsidRPr="00304313" w:rsidRDefault="009A5EB0" w:rsidP="009A5EB0">
            <w:pPr>
              <w:jc w:val="both"/>
              <w:rPr>
                <w:rFonts w:ascii="Cambria" w:eastAsia="Times New Roman" w:hAnsi="Cambria" w:cstheme="minorHAnsi"/>
                <w:i/>
                <w:iCs/>
                <w:color w:val="0070C0"/>
                <w:sz w:val="16"/>
                <w:szCs w:val="16"/>
                <w:lang w:eastAsia="es-CO"/>
              </w:rPr>
            </w:pPr>
            <w:r>
              <w:rPr>
                <w:rFonts w:ascii="Cambria" w:eastAsia="Times New Roman" w:hAnsi="Cambria" w:cstheme="minorHAnsi"/>
                <w:i/>
                <w:iCs/>
                <w:color w:val="0070C0"/>
                <w:sz w:val="16"/>
                <w:szCs w:val="16"/>
                <w:lang w:eastAsia="es-CO"/>
              </w:rPr>
              <w:t>1.</w:t>
            </w:r>
            <w:r w:rsidRPr="00304313">
              <w:rPr>
                <w:rFonts w:ascii="Cambria" w:eastAsia="Times New Roman" w:hAnsi="Cambria" w:cstheme="minorHAnsi"/>
                <w:i/>
                <w:iCs/>
                <w:color w:val="0070C0"/>
                <w:sz w:val="16"/>
                <w:szCs w:val="16"/>
                <w:lang w:eastAsia="es-CO"/>
              </w:rPr>
              <w:t>El valor total de los pagos gravables, recibidos directa o indirectamente por el trabajador en el respectivo período, se divide por el número de días a que correspondan tales pagos  y su resultado se multiplica por 30;</w:t>
            </w:r>
          </w:p>
          <w:p w14:paraId="1A516BD5" w14:textId="77777777" w:rsidR="009A5EB0" w:rsidRDefault="009A5EB0" w:rsidP="009A5EB0">
            <w:pPr>
              <w:jc w:val="both"/>
              <w:rPr>
                <w:rFonts w:ascii="Cambria" w:eastAsia="Times New Roman" w:hAnsi="Cambria" w:cstheme="minorHAnsi"/>
                <w:i/>
                <w:iCs/>
                <w:color w:val="0070C0"/>
                <w:sz w:val="16"/>
                <w:szCs w:val="16"/>
                <w:lang w:eastAsia="es-CO"/>
              </w:rPr>
            </w:pPr>
          </w:p>
          <w:p w14:paraId="40A29143" w14:textId="77777777" w:rsidR="009A5EB0" w:rsidRPr="00206EB9" w:rsidRDefault="009A5EB0" w:rsidP="009A5EB0">
            <w:pPr>
              <w:jc w:val="both"/>
              <w:rPr>
                <w:rFonts w:ascii="Cambria" w:eastAsia="Times New Roman" w:hAnsi="Cambria" w:cstheme="minorHAnsi"/>
                <w:b/>
                <w:bCs/>
                <w:i/>
                <w:iCs/>
                <w:color w:val="0070C0"/>
                <w:sz w:val="16"/>
                <w:szCs w:val="16"/>
                <w:u w:val="single"/>
                <w:lang w:eastAsia="es-CO"/>
              </w:rPr>
            </w:pPr>
            <w:r w:rsidRPr="00206EB9">
              <w:rPr>
                <w:rFonts w:ascii="Cambria" w:eastAsia="Times New Roman" w:hAnsi="Cambria" w:cstheme="minorHAnsi"/>
                <w:b/>
                <w:bCs/>
                <w:i/>
                <w:iCs/>
                <w:color w:val="0070C0"/>
                <w:sz w:val="16"/>
                <w:szCs w:val="16"/>
                <w:highlight w:val="yellow"/>
                <w:u w:val="single"/>
                <w:lang w:eastAsia="es-CO"/>
              </w:rPr>
              <w:lastRenderedPageBreak/>
              <w:t>2. Al valor resultante en el numeral anterior, se podrá restar los valores determinados en el artículo 387 del Estatuto Tributario, arrojando como resultado la base de retención en la fuente</w:t>
            </w:r>
          </w:p>
          <w:p w14:paraId="37AB8ABC" w14:textId="77777777" w:rsidR="009A5EB0" w:rsidRDefault="009A5EB0" w:rsidP="009A5EB0">
            <w:pPr>
              <w:jc w:val="both"/>
              <w:rPr>
                <w:rFonts w:ascii="Cambria" w:eastAsia="Times New Roman" w:hAnsi="Cambria" w:cstheme="minorHAnsi"/>
                <w:i/>
                <w:iCs/>
                <w:color w:val="0070C0"/>
                <w:sz w:val="16"/>
                <w:szCs w:val="16"/>
                <w:lang w:eastAsia="es-CO"/>
              </w:rPr>
            </w:pPr>
          </w:p>
          <w:p w14:paraId="4AF62E81" w14:textId="77777777" w:rsidR="009A5EB0" w:rsidRPr="00304313" w:rsidRDefault="009A5EB0" w:rsidP="009A5EB0">
            <w:pPr>
              <w:jc w:val="both"/>
              <w:rPr>
                <w:rFonts w:ascii="Cambria" w:eastAsia="Times New Roman" w:hAnsi="Cambria" w:cstheme="minorHAnsi"/>
                <w:i/>
                <w:iCs/>
                <w:color w:val="0070C0"/>
                <w:sz w:val="16"/>
                <w:szCs w:val="16"/>
                <w:lang w:eastAsia="es-CO"/>
              </w:rPr>
            </w:pPr>
            <w:r>
              <w:rPr>
                <w:rFonts w:ascii="Cambria" w:eastAsia="Times New Roman" w:hAnsi="Cambria" w:cstheme="minorHAnsi"/>
                <w:i/>
                <w:iCs/>
                <w:color w:val="0070C0"/>
                <w:sz w:val="16"/>
                <w:szCs w:val="16"/>
                <w:lang w:eastAsia="es-CO"/>
              </w:rPr>
              <w:t>3</w:t>
            </w:r>
            <w:r w:rsidRPr="00304313">
              <w:rPr>
                <w:rFonts w:ascii="Cambria" w:eastAsia="Times New Roman" w:hAnsi="Cambria" w:cstheme="minorHAnsi"/>
                <w:i/>
                <w:iCs/>
                <w:color w:val="0070C0"/>
                <w:sz w:val="16"/>
                <w:szCs w:val="16"/>
                <w:lang w:eastAsia="es-CO"/>
              </w:rPr>
              <w:t>. Se determina el porcentaje de retención que figure en la tabla frente al valor obtenido de acuerdo con lo previsto en el literal anterior y dicho porcentaje se aplica a la totalidad de los pagos  gravables recibidos directa o indirectamente por el trabajador en el respectivo período. La cifra resultante será el "valor a retener".</w:t>
            </w:r>
          </w:p>
          <w:p w14:paraId="6162ED64"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2B3A1010" w14:textId="66A4DC41" w:rsidR="009A5EB0" w:rsidRDefault="009A5EB0" w:rsidP="009A5EB0">
            <w:pPr>
              <w:jc w:val="both"/>
              <w:rPr>
                <w:rFonts w:ascii="Cambria" w:eastAsia="Times New Roman" w:hAnsi="Cambria" w:cstheme="minorHAnsi"/>
                <w:b/>
                <w:bCs/>
                <w:i/>
                <w:iCs/>
                <w:color w:val="0070C0"/>
                <w:sz w:val="16"/>
                <w:szCs w:val="16"/>
                <w:u w:val="single"/>
                <w:lang w:eastAsia="es-CO"/>
              </w:rPr>
            </w:pPr>
            <w:r w:rsidRPr="00304313">
              <w:rPr>
                <w:rFonts w:ascii="Cambria" w:eastAsia="Times New Roman" w:hAnsi="Cambria" w:cstheme="minorHAnsi"/>
                <w:i/>
                <w:iCs/>
                <w:color w:val="0070C0"/>
                <w:sz w:val="16"/>
                <w:szCs w:val="16"/>
                <w:lang w:eastAsia="es-CO"/>
              </w:rPr>
              <w:t>Cuando se trate de la</w:t>
            </w:r>
            <w:r w:rsidR="00F77D76">
              <w:rPr>
                <w:rFonts w:ascii="Cambria" w:eastAsia="Times New Roman" w:hAnsi="Cambria" w:cstheme="minorHAnsi"/>
                <w:i/>
                <w:iCs/>
                <w:color w:val="0070C0"/>
                <w:sz w:val="16"/>
                <w:szCs w:val="16"/>
                <w:lang w:eastAsia="es-CO"/>
              </w:rPr>
              <w:t xml:space="preserve">s </w:t>
            </w:r>
            <w:r w:rsidR="00F77D76" w:rsidRPr="00F77D76">
              <w:rPr>
                <w:rFonts w:ascii="Cambria" w:eastAsia="Times New Roman" w:hAnsi="Cambria" w:cstheme="minorHAnsi"/>
                <w:b/>
                <w:bCs/>
                <w:i/>
                <w:iCs/>
                <w:color w:val="0070C0"/>
                <w:sz w:val="16"/>
                <w:szCs w:val="16"/>
                <w:highlight w:val="yellow"/>
                <w:u w:val="single"/>
                <w:lang w:eastAsia="es-CO"/>
              </w:rPr>
              <w:t>cesantías</w:t>
            </w:r>
            <w:r w:rsidR="009F4F8A">
              <w:rPr>
                <w:rFonts w:ascii="Cambria" w:eastAsia="Times New Roman" w:hAnsi="Cambria" w:cstheme="minorHAnsi"/>
                <w:b/>
                <w:bCs/>
                <w:i/>
                <w:iCs/>
                <w:color w:val="0070C0"/>
                <w:sz w:val="16"/>
                <w:szCs w:val="16"/>
                <w:u w:val="single"/>
                <w:lang w:eastAsia="es-CO"/>
              </w:rPr>
              <w:t>,</w:t>
            </w:r>
            <w:r w:rsidRPr="00304313">
              <w:rPr>
                <w:rFonts w:ascii="Cambria" w:eastAsia="Times New Roman" w:hAnsi="Cambria" w:cstheme="minorHAnsi"/>
                <w:i/>
                <w:iCs/>
                <w:color w:val="0070C0"/>
                <w:sz w:val="16"/>
                <w:szCs w:val="16"/>
                <w:lang w:eastAsia="es-CO"/>
              </w:rPr>
              <w:t xml:space="preserve"> prima mínima legal de servicios del sector privado, o de navidad del sector público, el "valor a retener" es el que figure frente al intervalo al cual corresponda </w:t>
            </w:r>
            <w:r w:rsidRPr="00206EB9">
              <w:rPr>
                <w:rFonts w:ascii="Cambria" w:eastAsia="Times New Roman" w:hAnsi="Cambria" w:cstheme="minorHAnsi"/>
                <w:b/>
                <w:bCs/>
                <w:i/>
                <w:iCs/>
                <w:color w:val="0070C0"/>
                <w:sz w:val="16"/>
                <w:szCs w:val="16"/>
                <w:highlight w:val="yellow"/>
                <w:u w:val="single"/>
                <w:lang w:eastAsia="es-CO"/>
              </w:rPr>
              <w:t>el respectivo pago o consignación al fondo de cesantías.</w:t>
            </w:r>
          </w:p>
          <w:p w14:paraId="6D86FD84" w14:textId="77777777" w:rsidR="009A5EB0" w:rsidRDefault="009A5EB0" w:rsidP="009A5EB0">
            <w:pPr>
              <w:jc w:val="both"/>
              <w:rPr>
                <w:rFonts w:ascii="Cambria" w:eastAsia="Times New Roman" w:hAnsi="Cambria" w:cstheme="minorHAnsi"/>
                <w:b/>
                <w:bCs/>
                <w:i/>
                <w:iCs/>
                <w:color w:val="0070C0"/>
                <w:sz w:val="16"/>
                <w:szCs w:val="16"/>
                <w:u w:val="single"/>
                <w:lang w:eastAsia="es-CO"/>
              </w:rPr>
            </w:pPr>
          </w:p>
          <w:p w14:paraId="6EB8AAA2" w14:textId="77EFE426" w:rsidR="009A5EB0" w:rsidRDefault="009A5EB0" w:rsidP="009A5EB0">
            <w:pPr>
              <w:jc w:val="both"/>
              <w:rPr>
                <w:rFonts w:ascii="Cambria" w:eastAsia="Times New Roman" w:hAnsi="Cambria" w:cstheme="minorHAnsi"/>
                <w:i/>
                <w:iCs/>
                <w:color w:val="0070C0"/>
                <w:sz w:val="16"/>
                <w:szCs w:val="16"/>
                <w:lang w:eastAsia="es-CO"/>
              </w:rPr>
            </w:pPr>
            <w:r w:rsidRPr="00206EB9">
              <w:rPr>
                <w:rFonts w:ascii="Cambria" w:eastAsia="Times New Roman" w:hAnsi="Cambria" w:cstheme="minorHAnsi"/>
                <w:b/>
                <w:bCs/>
                <w:i/>
                <w:iCs/>
                <w:color w:val="0070C0"/>
                <w:sz w:val="16"/>
                <w:szCs w:val="16"/>
                <w:highlight w:val="yellow"/>
                <w:u w:val="single"/>
                <w:lang w:eastAsia="es-CO"/>
              </w:rPr>
              <w:t xml:space="preserve">Parágrafo. Cuando el trabajador se </w:t>
            </w:r>
            <w:r w:rsidR="007B44CF">
              <w:rPr>
                <w:rFonts w:ascii="Cambria" w:eastAsia="Times New Roman" w:hAnsi="Cambria" w:cstheme="minorHAnsi"/>
                <w:b/>
                <w:bCs/>
                <w:i/>
                <w:iCs/>
                <w:color w:val="0070C0"/>
                <w:sz w:val="16"/>
                <w:szCs w:val="16"/>
                <w:highlight w:val="yellow"/>
                <w:u w:val="single"/>
                <w:lang w:eastAsia="es-CO"/>
              </w:rPr>
              <w:t>en</w:t>
            </w:r>
            <w:r w:rsidRPr="00206EB9">
              <w:rPr>
                <w:rFonts w:ascii="Cambria" w:eastAsia="Times New Roman" w:hAnsi="Cambria" w:cstheme="minorHAnsi"/>
                <w:b/>
                <w:bCs/>
                <w:i/>
                <w:iCs/>
                <w:color w:val="0070C0"/>
                <w:sz w:val="16"/>
                <w:szCs w:val="16"/>
                <w:highlight w:val="yellow"/>
                <w:u w:val="single"/>
                <w:lang w:eastAsia="es-CO"/>
              </w:rPr>
              <w:t>cuentre obligado a llevar contabilidad, se considera el pago o abono en cuenta lo que ocurra primero para efectos de la aplicación de retención em la fuente</w:t>
            </w:r>
          </w:p>
          <w:p w14:paraId="3D770874" w14:textId="77777777" w:rsidR="009A5EB0" w:rsidRPr="00304313" w:rsidRDefault="009A5EB0" w:rsidP="009A5EB0">
            <w:pPr>
              <w:jc w:val="both"/>
              <w:rPr>
                <w:i/>
                <w:iCs/>
                <w:color w:val="0070C0"/>
              </w:rPr>
            </w:pPr>
          </w:p>
        </w:tc>
      </w:tr>
      <w:tr w:rsidR="009A5EB0" w14:paraId="285EB1DF" w14:textId="77777777" w:rsidTr="00FD286E">
        <w:tc>
          <w:tcPr>
            <w:tcW w:w="4414" w:type="dxa"/>
          </w:tcPr>
          <w:p w14:paraId="0F3B8F9D" w14:textId="77777777" w:rsidR="009A5EB0" w:rsidRPr="00304313" w:rsidRDefault="009A5EB0" w:rsidP="009A5EB0">
            <w:pPr>
              <w:jc w:val="both"/>
              <w:rPr>
                <w:rFonts w:ascii="Cambria" w:eastAsia="Times New Roman" w:hAnsi="Cambria" w:cstheme="minorHAnsi"/>
                <w:i/>
                <w:iCs/>
                <w:color w:val="0070C0"/>
                <w:sz w:val="16"/>
                <w:szCs w:val="16"/>
                <w:lang w:eastAsia="es-CO"/>
              </w:rPr>
            </w:pPr>
            <w:bookmarkStart w:id="1" w:name="386"/>
            <w:r>
              <w:rPr>
                <w:rFonts w:ascii="Cambria" w:eastAsia="Times New Roman" w:hAnsi="Cambria" w:cstheme="minorHAnsi"/>
                <w:b/>
                <w:bCs/>
                <w:i/>
                <w:iCs/>
                <w:color w:val="0070C0"/>
                <w:sz w:val="16"/>
                <w:szCs w:val="16"/>
                <w:lang w:eastAsia="es-CO"/>
              </w:rPr>
              <w:lastRenderedPageBreak/>
              <w:t>“</w:t>
            </w:r>
            <w:r w:rsidRPr="00304313">
              <w:rPr>
                <w:rFonts w:ascii="Cambria" w:eastAsia="Times New Roman" w:hAnsi="Cambria" w:cstheme="minorHAnsi"/>
                <w:b/>
                <w:bCs/>
                <w:i/>
                <w:iCs/>
                <w:color w:val="0070C0"/>
                <w:sz w:val="16"/>
                <w:szCs w:val="16"/>
                <w:lang w:eastAsia="es-CO"/>
              </w:rPr>
              <w:t>Articulo 386. Segunda opción frente a la retención</w:t>
            </w:r>
            <w:r w:rsidRPr="00304313">
              <w:rPr>
                <w:rFonts w:ascii="Cambria" w:eastAsia="Times New Roman" w:hAnsi="Cambria" w:cstheme="minorHAnsi"/>
                <w:i/>
                <w:iCs/>
                <w:color w:val="0070C0"/>
                <w:sz w:val="16"/>
                <w:szCs w:val="16"/>
                <w:lang w:eastAsia="es-CO"/>
              </w:rPr>
              <w:t>.</w:t>
            </w:r>
            <w:bookmarkEnd w:id="1"/>
            <w:r w:rsidRPr="00304313">
              <w:rPr>
                <w:rFonts w:ascii="Cambria" w:eastAsia="Times New Roman" w:hAnsi="Cambria" w:cstheme="minorHAnsi"/>
                <w:i/>
                <w:iCs/>
                <w:color w:val="0070C0"/>
                <w:sz w:val="16"/>
                <w:szCs w:val="16"/>
                <w:lang w:eastAsia="es-CO"/>
              </w:rPr>
              <w:t>  El retenedor podrá igualmente aplicar el siguiente sistema:</w:t>
            </w:r>
          </w:p>
          <w:p w14:paraId="7B014124"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Procedimiento 2. Cuando se trate de los pagos  gravable &lt;sic&gt; distintos de la cesantía y de los intereses sobre las cesantías, el "valor a retener" mensualmente es el que resulte de aplicar a la totalidad de tales pagos gravables efectuados al trabajador, directa o indirectamente, en el respectivo mes, el porcentaje fijo de retención semestral que le corresponda al trabajador, calculado de conformidad con las siguientes reglas:</w:t>
            </w:r>
          </w:p>
          <w:p w14:paraId="7A2CEA60"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28285F16"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Los retenedores calcularán en los meses de junio y diciembre de cada año el porcentaje fijo de retención que deberá aplicarse a los ingresos de cada trabajador durante los seis meses siguientes a aquél en el cual se haya efectuado el cálculo.</w:t>
            </w:r>
          </w:p>
          <w:p w14:paraId="2FD48C5C"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08197633"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El porcentaje fijo de retención de que trata el inciso anterior será el que figure en la tabla de retención frente al intervalo al cual corresponda el resultado de dividir por 13 la sumatoria de todos los pagos gravables efectuados al trabajador, directa o indirectamente, durante los 12 meses anteriores a aquél en el cual se efectúa el cálculo, sin incluir los que correspondan a la cesantía y a los intereses sobre cesantías.</w:t>
            </w:r>
          </w:p>
          <w:p w14:paraId="53D82EA9"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2782E2B6"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Cuando el trabajador lleve laborando menos de 12 meses al servicio del patrono, el porcentaje fijo de retención será el que figure en la tabla de retención frente al intervalo al cual corresponda el resultado de dividir por el número de meses de vinculación laboral, la sumatoria de todos los pagos gravables efectuados al trabajador, directa o indirectamente, durante dicho lapso, sin incluir los que correspondan a la cesantía y a los intereses sobre cesantías.</w:t>
            </w:r>
          </w:p>
          <w:p w14:paraId="6340275F"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2F335DC0" w14:textId="77777777" w:rsidR="009A5EB0" w:rsidRPr="00304313" w:rsidRDefault="009A5EB0" w:rsidP="009A5EB0">
            <w:pPr>
              <w:jc w:val="both"/>
              <w:rPr>
                <w:rFonts w:ascii="Cambria" w:eastAsia="Times New Roman" w:hAnsi="Cambria" w:cstheme="minorHAnsi"/>
                <w:i/>
                <w:iCs/>
                <w:color w:val="0070C0"/>
                <w:sz w:val="16"/>
                <w:szCs w:val="16"/>
                <w:lang w:eastAsia="es-CO"/>
              </w:rPr>
            </w:pPr>
            <w:r w:rsidRPr="00304313">
              <w:rPr>
                <w:rFonts w:ascii="Cambria" w:eastAsia="Times New Roman" w:hAnsi="Cambria" w:cstheme="minorHAnsi"/>
                <w:i/>
                <w:iCs/>
                <w:color w:val="0070C0"/>
                <w:sz w:val="16"/>
                <w:szCs w:val="16"/>
                <w:lang w:eastAsia="es-CO"/>
              </w:rPr>
              <w:t>Cuando se trate de nuevos trabajadores y hasta tanto se efectúe el primer cálculo, el porcentaje de retención será el que figure en la tabla frente al intervalo al cual corresponda la totalidad de los pagos  gravables que se hagan al trabajador, directa o indirectamente, durante el respectivo mes.</w:t>
            </w:r>
            <w:r>
              <w:rPr>
                <w:rFonts w:ascii="Cambria" w:eastAsia="Times New Roman" w:hAnsi="Cambria" w:cstheme="minorHAnsi"/>
                <w:i/>
                <w:iCs/>
                <w:color w:val="0070C0"/>
                <w:sz w:val="16"/>
                <w:szCs w:val="16"/>
                <w:lang w:eastAsia="es-CO"/>
              </w:rPr>
              <w:t>”</w:t>
            </w:r>
          </w:p>
          <w:p w14:paraId="60A05A5A" w14:textId="77777777" w:rsidR="009A5EB0" w:rsidRPr="00304313" w:rsidRDefault="009A5EB0" w:rsidP="009A5EB0">
            <w:pPr>
              <w:rPr>
                <w:i/>
                <w:iCs/>
                <w:color w:val="0070C0"/>
                <w:lang w:eastAsia="es-CO"/>
              </w:rPr>
            </w:pPr>
          </w:p>
        </w:tc>
        <w:tc>
          <w:tcPr>
            <w:tcW w:w="4414" w:type="dxa"/>
          </w:tcPr>
          <w:p w14:paraId="02B7131A" w14:textId="4D495BB4" w:rsidR="009A5EB0" w:rsidRPr="00304313" w:rsidRDefault="009A5EB0" w:rsidP="009A5EB0">
            <w:pPr>
              <w:jc w:val="both"/>
              <w:rPr>
                <w:rFonts w:ascii="Cambria" w:eastAsia="Times New Roman" w:hAnsi="Cambria" w:cstheme="minorHAnsi"/>
                <w:i/>
                <w:iCs/>
                <w:color w:val="0070C0"/>
                <w:sz w:val="16"/>
                <w:szCs w:val="16"/>
                <w:lang w:eastAsia="es-CO"/>
              </w:rPr>
            </w:pPr>
            <w:r>
              <w:rPr>
                <w:rFonts w:ascii="Cambria" w:eastAsia="Times New Roman" w:hAnsi="Cambria" w:cstheme="minorHAnsi"/>
                <w:b/>
                <w:bCs/>
                <w:i/>
                <w:iCs/>
                <w:color w:val="0070C0"/>
                <w:sz w:val="16"/>
                <w:szCs w:val="16"/>
                <w:lang w:eastAsia="es-CO"/>
              </w:rPr>
              <w:t>“</w:t>
            </w:r>
            <w:r w:rsidRPr="00304313">
              <w:rPr>
                <w:rFonts w:ascii="Cambria" w:eastAsia="Times New Roman" w:hAnsi="Cambria" w:cstheme="minorHAnsi"/>
                <w:b/>
                <w:bCs/>
                <w:i/>
                <w:iCs/>
                <w:color w:val="0070C0"/>
                <w:sz w:val="16"/>
                <w:szCs w:val="16"/>
                <w:lang w:eastAsia="es-CO"/>
              </w:rPr>
              <w:t>Articulo 386. Segunda opción frente a la retención</w:t>
            </w:r>
            <w:r>
              <w:rPr>
                <w:rFonts w:ascii="Cambria" w:eastAsia="Times New Roman" w:hAnsi="Cambria" w:cstheme="minorHAnsi"/>
                <w:b/>
                <w:bCs/>
                <w:i/>
                <w:iCs/>
                <w:color w:val="0070C0"/>
                <w:sz w:val="16"/>
                <w:szCs w:val="16"/>
                <w:lang w:eastAsia="es-CO"/>
              </w:rPr>
              <w:t xml:space="preserve"> </w:t>
            </w:r>
            <w:r w:rsidRPr="00206EB9">
              <w:rPr>
                <w:rFonts w:ascii="Cambria" w:eastAsia="Times New Roman" w:hAnsi="Cambria" w:cstheme="minorHAnsi"/>
                <w:b/>
                <w:bCs/>
                <w:color w:val="FF0000"/>
                <w:sz w:val="16"/>
                <w:szCs w:val="16"/>
                <w:lang w:eastAsia="es-CO"/>
              </w:rPr>
              <w:t xml:space="preserve">(quedaría derogado con lo propuesto en el artículo </w:t>
            </w:r>
            <w:r w:rsidR="001B4295">
              <w:rPr>
                <w:rFonts w:ascii="Cambria" w:eastAsia="Times New Roman" w:hAnsi="Cambria" w:cstheme="minorHAnsi"/>
                <w:b/>
                <w:bCs/>
                <w:color w:val="FF0000"/>
                <w:sz w:val="16"/>
                <w:szCs w:val="16"/>
                <w:lang w:eastAsia="es-CO"/>
              </w:rPr>
              <w:t>95</w:t>
            </w:r>
            <w:r w:rsidRPr="00206EB9">
              <w:rPr>
                <w:rFonts w:ascii="Cambria" w:eastAsia="Times New Roman" w:hAnsi="Cambria" w:cstheme="minorHAnsi"/>
                <w:b/>
                <w:bCs/>
                <w:color w:val="FF0000"/>
                <w:sz w:val="16"/>
                <w:szCs w:val="16"/>
                <w:lang w:eastAsia="es-CO"/>
              </w:rPr>
              <w:t xml:space="preserve"> del proyecto de Ley)</w:t>
            </w:r>
            <w:r w:rsidRPr="00206EB9">
              <w:rPr>
                <w:rFonts w:ascii="Cambria" w:eastAsia="Times New Roman" w:hAnsi="Cambria" w:cstheme="minorHAnsi"/>
                <w:i/>
                <w:iCs/>
                <w:color w:val="FF0000"/>
                <w:sz w:val="16"/>
                <w:szCs w:val="16"/>
                <w:lang w:eastAsia="es-CO"/>
              </w:rPr>
              <w:t xml:space="preserve">.  </w:t>
            </w:r>
          </w:p>
          <w:p w14:paraId="44648F35" w14:textId="77777777" w:rsidR="009A5EB0" w:rsidRPr="00304313" w:rsidRDefault="009A5EB0" w:rsidP="009A5EB0">
            <w:pPr>
              <w:jc w:val="both"/>
              <w:rPr>
                <w:rFonts w:ascii="Cambria" w:eastAsia="Times New Roman" w:hAnsi="Cambria" w:cstheme="minorHAnsi"/>
                <w:i/>
                <w:iCs/>
                <w:color w:val="0070C0"/>
                <w:sz w:val="16"/>
                <w:szCs w:val="16"/>
                <w:lang w:eastAsia="es-CO"/>
              </w:rPr>
            </w:pPr>
          </w:p>
          <w:p w14:paraId="60D6B806" w14:textId="77777777" w:rsidR="009A5EB0" w:rsidRPr="00304313" w:rsidRDefault="009A5EB0" w:rsidP="009A5EB0">
            <w:pPr>
              <w:jc w:val="both"/>
              <w:rPr>
                <w:i/>
                <w:iCs/>
                <w:color w:val="0070C0"/>
              </w:rPr>
            </w:pPr>
          </w:p>
        </w:tc>
      </w:tr>
    </w:tbl>
    <w:p w14:paraId="53DA7CDF" w14:textId="77777777" w:rsidR="004179A0" w:rsidRDefault="004179A0"/>
    <w:p w14:paraId="7FF54E13" w14:textId="7EFE71EE" w:rsidR="00F51B56" w:rsidRDefault="00F51B56">
      <w:r>
        <w:t xml:space="preserve">Al respecto, </w:t>
      </w:r>
      <w:r w:rsidR="001B4295">
        <w:t xml:space="preserve">y aunque no se conoce el texto de la </w:t>
      </w:r>
      <w:r>
        <w:t xml:space="preserve">exposición de motivos del proyecto de Ley, la intención de hacer estas modificaciones a las normas que regulan la retención en la fuente sobre rentas de trabajo es la de lograr que las retenciones terminen siendo </w:t>
      </w:r>
      <w:r>
        <w:lastRenderedPageBreak/>
        <w:t>similares a lo que será el impuesto al final del año, pues con el artículo 1</w:t>
      </w:r>
      <w:r w:rsidR="001B4295">
        <w:t>5</w:t>
      </w:r>
      <w:r>
        <w:t xml:space="preserve"> del mismo proyecto de Ley también se propone modificar </w:t>
      </w:r>
      <w:r w:rsidR="001B4295">
        <w:t xml:space="preserve">los últimos 5 rangos de </w:t>
      </w:r>
      <w:r>
        <w:t>la tabla del artículo 241 del ET que se utiliza para que todas las personas naturales residentes liquiden su impuesto de renta</w:t>
      </w:r>
    </w:p>
    <w:p w14:paraId="00C131A8" w14:textId="77777777" w:rsidR="00F51B56" w:rsidRDefault="00F51B56"/>
    <w:p w14:paraId="0E9AAC29" w14:textId="77777777" w:rsidR="00F51B56" w:rsidRDefault="00F51B56">
      <w:r>
        <w:t>Por tanto, las modificaciones propuestas a los artículos 383, 385 y 386 del ET provocarían los siguientes cambios importantes:</w:t>
      </w:r>
    </w:p>
    <w:p w14:paraId="5ECB683A" w14:textId="77777777" w:rsidR="00F51B56" w:rsidRDefault="00F51B56"/>
    <w:p w14:paraId="3C6A5B6A" w14:textId="101FE091" w:rsidR="00F51B56" w:rsidRDefault="00F51B56" w:rsidP="00F51B56">
      <w:pPr>
        <w:pStyle w:val="Prrafodelista"/>
        <w:numPr>
          <w:ilvl w:val="0"/>
          <w:numId w:val="1"/>
        </w:numPr>
      </w:pPr>
      <w:r>
        <w:t xml:space="preserve">Se elimina </w:t>
      </w:r>
      <w:hyperlink r:id="rId10" w:history="1">
        <w:r w:rsidRPr="007D7AE7">
          <w:rPr>
            <w:rStyle w:val="Hipervnculo"/>
          </w:rPr>
          <w:t>el procedimiento 2 de retención en la fuente que estaba contemplado en el artículo 386 del ET</w:t>
        </w:r>
      </w:hyperlink>
      <w:r>
        <w:t xml:space="preserve"> y con el cual, en algunos casos, la retención en la fuente sobre rentas de trabajo durante todo un semestre del año fiscal podía llegar a ser del 0%</w:t>
      </w:r>
    </w:p>
    <w:p w14:paraId="5741C7AD" w14:textId="5E62B0DD" w:rsidR="007D7AE7" w:rsidRDefault="007D7AE7" w:rsidP="00F51B56">
      <w:pPr>
        <w:pStyle w:val="Prrafodelista"/>
        <w:numPr>
          <w:ilvl w:val="0"/>
          <w:numId w:val="1"/>
        </w:numPr>
      </w:pPr>
      <w:r>
        <w:t xml:space="preserve">Se modifica el inciso primero del artículo 383 del ET para establecer con fuerza de Ley una disposición que primero se introdujo mediante decreto reglamentario (ver el artículo 4 del </w:t>
      </w:r>
      <w:hyperlink r:id="rId11" w:anchor="4" w:history="1">
        <w:r w:rsidRPr="007D7AE7">
          <w:rPr>
            <w:rStyle w:val="Hipervnculo"/>
          </w:rPr>
          <w:t>Decreto 1808 de octubre de 2019</w:t>
        </w:r>
      </w:hyperlink>
      <w:r>
        <w:t xml:space="preserve"> y el </w:t>
      </w:r>
      <w:hyperlink r:id="rId12" w:anchor="4" w:history="1">
        <w:r w:rsidRPr="007D7AE7">
          <w:rPr>
            <w:rStyle w:val="Hipervnculo"/>
          </w:rPr>
          <w:t>artículo 4 del Decreto 359 de marzo de 2020</w:t>
        </w:r>
      </w:hyperlink>
      <w:r>
        <w:t>). En efecto, aunque el texto del primer inciso del artículo 383 del ET indi</w:t>
      </w:r>
      <w:r w:rsidR="001B4295">
        <w:t>ca</w:t>
      </w:r>
      <w:r>
        <w:t xml:space="preserve"> que todo tipo de persona natural sí </w:t>
      </w:r>
      <w:r w:rsidR="001B4295">
        <w:t>debería actuar</w:t>
      </w:r>
      <w:r>
        <w:t xml:space="preserve"> agente de retención sobre rentas de trabajo (pues la norma no hacía distinción), lo que se hizo con los mencionados decretos fue establecer solo las personas naturales comerciantes obligadas a llevar contabilidad y con patrimonios o ingresos altos mencionadas en el artículo 368-2 del ET serían las únicas obligadas a practicar también la retención en la fuente sobre rentas de trabajo.</w:t>
      </w:r>
    </w:p>
    <w:p w14:paraId="3CCEA3C8" w14:textId="458B8EA6" w:rsidR="00F77D76" w:rsidRDefault="00F77D76" w:rsidP="00F51B56">
      <w:pPr>
        <w:pStyle w:val="Prrafodelista"/>
        <w:numPr>
          <w:ilvl w:val="0"/>
          <w:numId w:val="1"/>
        </w:numPr>
      </w:pPr>
      <w:r>
        <w:t>Se modifican los últimos 5 rangos de la tabla del artículo 383 del ET aumentando el porcentaje con el cuál se calculará la retención y aumentando también las UVT adicionales que se toman en cuenta en la última columna de la tabla para determinar el valor final de la retención. La nueva tabla así modificada solo empezaría a aplicar a partir de julio de 2026</w:t>
      </w:r>
    </w:p>
    <w:p w14:paraId="11960D58" w14:textId="77777777" w:rsidR="00304313" w:rsidRDefault="000923F7" w:rsidP="00C65471">
      <w:pPr>
        <w:pStyle w:val="Prrafodelista"/>
        <w:numPr>
          <w:ilvl w:val="0"/>
          <w:numId w:val="1"/>
        </w:numPr>
      </w:pPr>
      <w:r>
        <w:t xml:space="preserve">En la nueva versión del parágrafo 1 del artículo 383 </w:t>
      </w:r>
      <w:r w:rsidR="001E55D8">
        <w:t xml:space="preserve">del ET se elevaría a norma con fuerza de Ley lo </w:t>
      </w:r>
      <w:hyperlink r:id="rId13" w:history="1">
        <w:r w:rsidR="001E55D8" w:rsidRPr="001E55D8">
          <w:rPr>
            <w:rStyle w:val="Hipervnculo"/>
          </w:rPr>
          <w:t xml:space="preserve">que primero quedó establecido en el Decreto </w:t>
        </w:r>
        <w:r w:rsidR="001E55D8">
          <w:rPr>
            <w:rStyle w:val="Hipervnculo"/>
          </w:rPr>
          <w:t xml:space="preserve">reglamentario </w:t>
        </w:r>
        <w:r w:rsidR="001E55D8" w:rsidRPr="001E55D8">
          <w:rPr>
            <w:rStyle w:val="Hipervnculo"/>
          </w:rPr>
          <w:t>2231 de diciembre de 2023</w:t>
        </w:r>
      </w:hyperlink>
      <w:r w:rsidR="001E55D8">
        <w:t xml:space="preserve"> (que modificó los artículos 1.2.4.1.6 y 1.2.4.1.17 del DUT 1625 de 2016) cuando se dispuso que la retención en la fuente con la tabla del artículo 383 se practicaría a los trabajadores independientes indiquen no le asociarán costos y gastos a sus ingresos por honorarios, comisiones o servicios pues en caso contrario la retención se les practicará con las tarifas del artículo 392 del ET.</w:t>
      </w:r>
    </w:p>
    <w:p w14:paraId="448AA61C" w14:textId="0D8062A2" w:rsidR="001E55D8" w:rsidRDefault="001E55D8" w:rsidP="00C65471">
      <w:pPr>
        <w:pStyle w:val="Prrafodelista"/>
        <w:numPr>
          <w:ilvl w:val="0"/>
          <w:numId w:val="1"/>
        </w:numPr>
      </w:pPr>
      <w:r>
        <w:t>En lo que sería la nueva versión del parágrafo 4 del artículo 383 se establecería</w:t>
      </w:r>
      <w:r w:rsidR="0034673F">
        <w:t>, de acuerdo con lo contemplado en el inciso segundo del artículo 851 del ET,</w:t>
      </w:r>
      <w:r>
        <w:t xml:space="preserve"> una devolución de oficio de los saldos a favor (sin importar el monto) para aquellas personas naturales a las cuales les aplique la regla de que sus ingresos anuales provienen en un 80% o más de rentas de trabajo. </w:t>
      </w:r>
      <w:hyperlink r:id="rId14" w:history="1">
        <w:r w:rsidRPr="0034673F">
          <w:rPr>
            <w:rStyle w:val="Hipervnculo"/>
          </w:rPr>
          <w:t xml:space="preserve">Ese mismo tipo de devolución de oficio ya se </w:t>
        </w:r>
        <w:r w:rsidR="00F77D76">
          <w:rPr>
            <w:rStyle w:val="Hipervnculo"/>
          </w:rPr>
          <w:t xml:space="preserve">estableció hace un año con la Resolución </w:t>
        </w:r>
        <w:r w:rsidRPr="0034673F">
          <w:rPr>
            <w:rStyle w:val="Hipervnculo"/>
          </w:rPr>
          <w:t>117 de julio 30 de 2024</w:t>
        </w:r>
      </w:hyperlink>
      <w:r>
        <w:t xml:space="preserve"> para todo tipo de persona natural (y no solo para las que obtengan principalmente rentas de trabajo) pero cumpliendo varios requisitos, entre ellos, que el saldo a </w:t>
      </w:r>
      <w:r>
        <w:lastRenderedPageBreak/>
        <w:t>favor que arroje su declaración anual de renta no supere los 40 UVT (actualmente $1.</w:t>
      </w:r>
      <w:r w:rsidR="00637C0B">
        <w:t>992</w:t>
      </w:r>
      <w:r>
        <w:t>.000)</w:t>
      </w:r>
    </w:p>
    <w:p w14:paraId="00B2E848" w14:textId="1743B33E" w:rsidR="0034673F" w:rsidRDefault="00F77D76" w:rsidP="0000225A">
      <w:pPr>
        <w:pStyle w:val="Prrafodelista"/>
        <w:numPr>
          <w:ilvl w:val="0"/>
          <w:numId w:val="1"/>
        </w:numPr>
      </w:pPr>
      <w:r>
        <w:t xml:space="preserve">Consideramos que en lo que sería la nueva versión del inciso segundo del numeral 3 del artículo 385 del ET se comete el error de establecer que las “cesantías” también quedarían sometidas a retención en la fuente cuando sean pagadas al trabajador o consignadas al fondo. </w:t>
      </w:r>
      <w:hyperlink r:id="rId15" w:history="1">
        <w:r w:rsidRPr="00F77D76">
          <w:rPr>
            <w:rStyle w:val="Hipervnculo"/>
          </w:rPr>
          <w:t>Para establecer dicha medida también sería necesario que el proyecto de Ley derogue el parágrafo 3 del artículo 135 de la Ley 100 de 1993 pero no lo hace (ver también el artículo 1.2.4.1.11 del DUT 1625 de 2016)</w:t>
        </w:r>
      </w:hyperlink>
    </w:p>
    <w:p w14:paraId="6A85C3FB" w14:textId="77777777" w:rsidR="0034673F" w:rsidRDefault="0034673F" w:rsidP="0034673F">
      <w:pPr>
        <w:pBdr>
          <w:bottom w:val="single" w:sz="12" w:space="1" w:color="auto"/>
        </w:pBdr>
      </w:pPr>
    </w:p>
    <w:p w14:paraId="28BC6C5F" w14:textId="77777777" w:rsidR="0034673F" w:rsidRDefault="0034673F" w:rsidP="0034673F"/>
    <w:p w14:paraId="5F9644F0" w14:textId="77777777" w:rsidR="0034673F" w:rsidRPr="00795625" w:rsidRDefault="0034673F" w:rsidP="00795625"/>
    <w:p w14:paraId="7881AC55" w14:textId="333AD238" w:rsidR="00795625" w:rsidRPr="00795625" w:rsidRDefault="00795625" w:rsidP="00795625">
      <w:hyperlink r:id="rId16" w:history="1">
        <w:r w:rsidRPr="00795625">
          <w:rPr>
            <w:rStyle w:val="Hipervnculo"/>
          </w:rPr>
          <w:t>Cuadro temático con las normas afectadas por el proyecto de ley de reforma tributaria (radicado en septiembre 2025)</w:t>
        </w:r>
      </w:hyperlink>
    </w:p>
    <w:p w14:paraId="75919D1B" w14:textId="77777777" w:rsidR="001E55D8" w:rsidRPr="0034673F" w:rsidRDefault="001E55D8" w:rsidP="001E55D8">
      <w:pPr>
        <w:pStyle w:val="Prrafodelista"/>
        <w:rPr>
          <w:lang w:val="es-ES"/>
        </w:rPr>
      </w:pPr>
    </w:p>
    <w:p w14:paraId="5DC55715" w14:textId="4FF03B49" w:rsidR="0034673F" w:rsidRDefault="00000000" w:rsidP="0034673F">
      <w:hyperlink r:id="rId17" w:history="1">
        <w:r w:rsidR="0034673F" w:rsidRPr="0034673F">
          <w:rPr>
            <w:rStyle w:val="Hipervnculo"/>
          </w:rPr>
          <w:t xml:space="preserve">Liquidador en Excel </w:t>
        </w:r>
        <w:r w:rsidR="00795625">
          <w:rPr>
            <w:rStyle w:val="Hipervnculo"/>
          </w:rPr>
          <w:t xml:space="preserve">obtención porcentaje de retención en junio de 2025 procedimiento 2 </w:t>
        </w:r>
      </w:hyperlink>
    </w:p>
    <w:p w14:paraId="6E45130F" w14:textId="77777777" w:rsidR="004F0575" w:rsidRPr="0034673F" w:rsidRDefault="004F0575"/>
    <w:p w14:paraId="6AF92932" w14:textId="77777777" w:rsidR="004F0575" w:rsidRPr="00107FAE" w:rsidRDefault="004F0575">
      <w:pPr>
        <w:rPr>
          <w:lang w:val="es-ES"/>
        </w:rPr>
      </w:pPr>
    </w:p>
    <w:sectPr w:rsidR="004F0575" w:rsidRPr="00107FA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2B3AD2"/>
    <w:multiLevelType w:val="hybridMultilevel"/>
    <w:tmpl w:val="872AF3D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069186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FAE"/>
    <w:rsid w:val="0004499F"/>
    <w:rsid w:val="0005782B"/>
    <w:rsid w:val="00072155"/>
    <w:rsid w:val="000923F7"/>
    <w:rsid w:val="000D2380"/>
    <w:rsid w:val="000F0A0E"/>
    <w:rsid w:val="00107FAE"/>
    <w:rsid w:val="001531A0"/>
    <w:rsid w:val="001B4295"/>
    <w:rsid w:val="001C204B"/>
    <w:rsid w:val="001D56DF"/>
    <w:rsid w:val="001E55D8"/>
    <w:rsid w:val="00206EB9"/>
    <w:rsid w:val="00304313"/>
    <w:rsid w:val="00304795"/>
    <w:rsid w:val="003214E2"/>
    <w:rsid w:val="0034673F"/>
    <w:rsid w:val="00396000"/>
    <w:rsid w:val="004179A0"/>
    <w:rsid w:val="00421472"/>
    <w:rsid w:val="004E5AAE"/>
    <w:rsid w:val="004F0575"/>
    <w:rsid w:val="00526D5B"/>
    <w:rsid w:val="00555718"/>
    <w:rsid w:val="0058024F"/>
    <w:rsid w:val="00637C0B"/>
    <w:rsid w:val="006F7927"/>
    <w:rsid w:val="00786F0C"/>
    <w:rsid w:val="00795625"/>
    <w:rsid w:val="007B44CF"/>
    <w:rsid w:val="007D7AE7"/>
    <w:rsid w:val="007E335A"/>
    <w:rsid w:val="008266A1"/>
    <w:rsid w:val="009A5EB0"/>
    <w:rsid w:val="009F4F8A"/>
    <w:rsid w:val="00D36189"/>
    <w:rsid w:val="00F51B56"/>
    <w:rsid w:val="00F77D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B029F"/>
  <w15:chartTrackingRefBased/>
  <w15:docId w15:val="{B6FFCCD0-1EC8-3044-B8F3-9ADBD1BE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34673F"/>
    <w:pPr>
      <w:spacing w:before="100" w:beforeAutospacing="1" w:after="100" w:afterAutospacing="1"/>
      <w:outlineLvl w:val="0"/>
    </w:pPr>
    <w:rPr>
      <w:rFonts w:ascii="Times New Roman" w:eastAsia="Times New Roman" w:hAnsi="Times New Roman" w:cs="Times New Roman"/>
      <w:b/>
      <w:bCs/>
      <w:kern w:val="36"/>
      <w:sz w:val="48"/>
      <w:szCs w:val="48"/>
      <w:lang w:eastAsia="es-MX"/>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4179A0"/>
    <w:rPr>
      <w:color w:val="0563C1" w:themeColor="hyperlink"/>
      <w:u w:val="single"/>
    </w:rPr>
  </w:style>
  <w:style w:type="table" w:styleId="Tablaconcuadrcula">
    <w:name w:val="Table Grid"/>
    <w:basedOn w:val="Tablanormal"/>
    <w:uiPriority w:val="59"/>
    <w:rsid w:val="00417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04795"/>
    <w:rPr>
      <w:color w:val="605E5C"/>
      <w:shd w:val="clear" w:color="auto" w:fill="E1DFDD"/>
    </w:rPr>
  </w:style>
  <w:style w:type="paragraph" w:styleId="NormalWeb">
    <w:name w:val="Normal (Web)"/>
    <w:basedOn w:val="Normal"/>
    <w:uiPriority w:val="99"/>
    <w:unhideWhenUsed/>
    <w:rsid w:val="00304795"/>
    <w:pPr>
      <w:spacing w:before="100" w:beforeAutospacing="1" w:after="100" w:afterAutospacing="1"/>
    </w:pPr>
    <w:rPr>
      <w:rFonts w:ascii="Times New Roman" w:hAnsi="Times New Roman" w:cs="Times New Roman"/>
      <w:kern w:val="0"/>
      <w:lang w:val="es-ES_tradnl" w:eastAsia="es-ES_tradnl"/>
      <w14:ligatures w14:val="none"/>
    </w:rPr>
  </w:style>
  <w:style w:type="paragraph" w:customStyle="1" w:styleId="Default">
    <w:name w:val="Default"/>
    <w:rsid w:val="00304795"/>
    <w:pPr>
      <w:autoSpaceDE w:val="0"/>
      <w:autoSpaceDN w:val="0"/>
      <w:adjustRightInd w:val="0"/>
    </w:pPr>
    <w:rPr>
      <w:rFonts w:ascii="Arial" w:hAnsi="Arial" w:cs="Arial"/>
      <w:color w:val="000000"/>
      <w:kern w:val="0"/>
      <w14:ligatures w14:val="none"/>
    </w:rPr>
  </w:style>
  <w:style w:type="character" w:customStyle="1" w:styleId="baj">
    <w:name w:val="b_aj"/>
    <w:basedOn w:val="Fuentedeprrafopredeter"/>
    <w:rsid w:val="00304795"/>
  </w:style>
  <w:style w:type="paragraph" w:styleId="Prrafodelista">
    <w:name w:val="List Paragraph"/>
    <w:basedOn w:val="Normal"/>
    <w:uiPriority w:val="34"/>
    <w:qFormat/>
    <w:rsid w:val="00206EB9"/>
    <w:pPr>
      <w:ind w:left="720"/>
      <w:contextualSpacing/>
    </w:pPr>
  </w:style>
  <w:style w:type="character" w:styleId="Hipervnculovisitado">
    <w:name w:val="FollowedHyperlink"/>
    <w:basedOn w:val="Fuentedeprrafopredeter"/>
    <w:uiPriority w:val="99"/>
    <w:semiHidden/>
    <w:unhideWhenUsed/>
    <w:rsid w:val="0034673F"/>
    <w:rPr>
      <w:color w:val="954F72" w:themeColor="followedHyperlink"/>
      <w:u w:val="single"/>
    </w:rPr>
  </w:style>
  <w:style w:type="character" w:customStyle="1" w:styleId="Ttulo1Car">
    <w:name w:val="Título 1 Car"/>
    <w:basedOn w:val="Fuentedeprrafopredeter"/>
    <w:link w:val="Ttulo1"/>
    <w:uiPriority w:val="9"/>
    <w:rsid w:val="0034673F"/>
    <w:rPr>
      <w:rFonts w:ascii="Times New Roman" w:eastAsia="Times New Roman" w:hAnsi="Times New Roman" w:cs="Times New Roman"/>
      <w:b/>
      <w:bCs/>
      <w:kern w:val="36"/>
      <w:sz w:val="48"/>
      <w:szCs w:val="48"/>
      <w:lang w:eastAsia="es-MX"/>
      <w14:ligatures w14:val="none"/>
    </w:rPr>
  </w:style>
  <w:style w:type="character" w:styleId="Refdecomentario">
    <w:name w:val="annotation reference"/>
    <w:basedOn w:val="Fuentedeprrafopredeter"/>
    <w:uiPriority w:val="99"/>
    <w:semiHidden/>
    <w:unhideWhenUsed/>
    <w:rsid w:val="0034673F"/>
    <w:rPr>
      <w:sz w:val="16"/>
      <w:szCs w:val="16"/>
    </w:rPr>
  </w:style>
  <w:style w:type="paragraph" w:styleId="Textocomentario">
    <w:name w:val="annotation text"/>
    <w:basedOn w:val="Normal"/>
    <w:link w:val="TextocomentarioCar"/>
    <w:uiPriority w:val="99"/>
    <w:semiHidden/>
    <w:unhideWhenUsed/>
    <w:rsid w:val="0034673F"/>
    <w:rPr>
      <w:sz w:val="20"/>
      <w:szCs w:val="20"/>
    </w:rPr>
  </w:style>
  <w:style w:type="character" w:customStyle="1" w:styleId="TextocomentarioCar">
    <w:name w:val="Texto comentario Car"/>
    <w:basedOn w:val="Fuentedeprrafopredeter"/>
    <w:link w:val="Textocomentario"/>
    <w:uiPriority w:val="99"/>
    <w:semiHidden/>
    <w:rsid w:val="0034673F"/>
    <w:rPr>
      <w:sz w:val="20"/>
      <w:szCs w:val="20"/>
    </w:rPr>
  </w:style>
  <w:style w:type="paragraph" w:styleId="Asuntodelcomentario">
    <w:name w:val="annotation subject"/>
    <w:basedOn w:val="Textocomentario"/>
    <w:next w:val="Textocomentario"/>
    <w:link w:val="AsuntodelcomentarioCar"/>
    <w:uiPriority w:val="99"/>
    <w:semiHidden/>
    <w:unhideWhenUsed/>
    <w:rsid w:val="0034673F"/>
    <w:rPr>
      <w:b/>
      <w:bCs/>
    </w:rPr>
  </w:style>
  <w:style w:type="character" w:customStyle="1" w:styleId="AsuntodelcomentarioCar">
    <w:name w:val="Asunto del comentario Car"/>
    <w:basedOn w:val="TextocomentarioCar"/>
    <w:link w:val="Asuntodelcomentario"/>
    <w:uiPriority w:val="99"/>
    <w:semiHidden/>
    <w:rsid w:val="003467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3259">
      <w:bodyDiv w:val="1"/>
      <w:marLeft w:val="0"/>
      <w:marRight w:val="0"/>
      <w:marTop w:val="0"/>
      <w:marBottom w:val="0"/>
      <w:divBdr>
        <w:top w:val="none" w:sz="0" w:space="0" w:color="auto"/>
        <w:left w:val="none" w:sz="0" w:space="0" w:color="auto"/>
        <w:bottom w:val="none" w:sz="0" w:space="0" w:color="auto"/>
        <w:right w:val="none" w:sz="0" w:space="0" w:color="auto"/>
      </w:divBdr>
    </w:div>
    <w:div w:id="1139763438">
      <w:bodyDiv w:val="1"/>
      <w:marLeft w:val="0"/>
      <w:marRight w:val="0"/>
      <w:marTop w:val="0"/>
      <w:marBottom w:val="0"/>
      <w:divBdr>
        <w:top w:val="none" w:sz="0" w:space="0" w:color="auto"/>
        <w:left w:val="none" w:sz="0" w:space="0" w:color="auto"/>
        <w:bottom w:val="none" w:sz="0" w:space="0" w:color="auto"/>
        <w:right w:val="none" w:sz="0" w:space="0" w:color="auto"/>
      </w:divBdr>
    </w:div>
    <w:div w:id="1853252093">
      <w:bodyDiv w:val="1"/>
      <w:marLeft w:val="0"/>
      <w:marRight w:val="0"/>
      <w:marTop w:val="0"/>
      <w:marBottom w:val="0"/>
      <w:divBdr>
        <w:top w:val="none" w:sz="0" w:space="0" w:color="auto"/>
        <w:left w:val="none" w:sz="0" w:space="0" w:color="auto"/>
        <w:bottom w:val="none" w:sz="0" w:space="0" w:color="auto"/>
        <w:right w:val="none" w:sz="0" w:space="0" w:color="auto"/>
      </w:divBdr>
    </w:div>
    <w:div w:id="200862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actualicese.com/normatividad/2024/Proyectos/PL300-Ley-Financiamiento-24.pdf" TargetMode="External"/><Relationship Id="rId13" Type="http://schemas.openxmlformats.org/officeDocument/2006/relationships/hyperlink" Target="https://actualicese.com/retencion-en-la-fuente-sobre-rentas-de-trabajo-se-reglamentan-cambios-de-la-ley-2277-de-202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enado.gov.co/index.php/el-senado/noticias/6706-congreso-inicia-tramite-del-proyecto-para-el-presupuesto-general-de-la-nacion-vigencia-2026" TargetMode="External"/><Relationship Id="rId12" Type="http://schemas.openxmlformats.org/officeDocument/2006/relationships/hyperlink" Target="https://normograma.dian.gov.co/dian/compilacion/docs/decreto_0359_2020.htm" TargetMode="External"/><Relationship Id="rId17" Type="http://schemas.openxmlformats.org/officeDocument/2006/relationships/hyperlink" Target="https://actualicese.com/liquidador-en-excel-del-porcentaje-fijo-de-retencion-en-la-fuente-sobre-salarios-en-junio-de-2025-procedimiento-2/" TargetMode="External"/><Relationship Id="rId2" Type="http://schemas.openxmlformats.org/officeDocument/2006/relationships/styles" Target="styles.xml"/><Relationship Id="rId16" Type="http://schemas.openxmlformats.org/officeDocument/2006/relationships/hyperlink" Target="https://actualicese.com/cuadro-tematico-con-las-normas-afectadas-por-el-proyecto-de-ley-de-reforma-tributaria-radicado-en-septiembre-2025/" TargetMode="External"/><Relationship Id="rId1" Type="http://schemas.openxmlformats.org/officeDocument/2006/relationships/numbering" Target="numbering.xml"/><Relationship Id="rId6" Type="http://schemas.openxmlformats.org/officeDocument/2006/relationships/hyperlink" Target="https://www.minhacienda.gov.co/w/ministro-de-hacienda-presenta-la-ley-de-financiamiento-y-aclara-que-no-afecta-la-canasta-familiar" TargetMode="External"/><Relationship Id="rId11" Type="http://schemas.openxmlformats.org/officeDocument/2006/relationships/hyperlink" Target="https://normograma.dian.gov.co/dian/compilacion/docs/decreto_1808_2019.htm" TargetMode="External"/><Relationship Id="rId5" Type="http://schemas.openxmlformats.org/officeDocument/2006/relationships/hyperlink" Target="https://actualicese.com/cuadro-tematico-con-las-normas-afectadas-por-el-proyecto-de-ley-de-reforma-tributaria-radicado-en-septiembre-2025/" TargetMode="External"/><Relationship Id="rId15" Type="http://schemas.openxmlformats.org/officeDocument/2006/relationships/hyperlink" Target="https://actualicese.com/cesantias-e-intereses-que-se-paguen-o-consignen-en-2024-no-se-someten-a-retencion-en-la-fuente/" TargetMode="External"/><Relationship Id="rId10" Type="http://schemas.openxmlformats.org/officeDocument/2006/relationships/hyperlink" Target="https://actualicese.com/liquidador-en-excel-del-porcentaje-fijo-de-retencion-en-la-fuente-sobre-salarios-en-junio-de-2025-procedimiento-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ormograma.dian.gov.co/dian/compilacion/docs/estatuto_tributario.htm" TargetMode="External"/><Relationship Id="rId14" Type="http://schemas.openxmlformats.org/officeDocument/2006/relationships/hyperlink" Target="https://actualicese.com/nuevo-mecanismo-de-devolucion-de-oficio-de-saldos-a-favor-para-la-renta-de-personas-natural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3066</Words>
  <Characters>16864</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guevara</dc:creator>
  <cp:keywords/>
  <dc:description/>
  <cp:lastModifiedBy>diego guevara</cp:lastModifiedBy>
  <cp:revision>25</cp:revision>
  <dcterms:created xsi:type="dcterms:W3CDTF">2024-09-15T22:53:00Z</dcterms:created>
  <dcterms:modified xsi:type="dcterms:W3CDTF">2025-09-04T23:12:00Z</dcterms:modified>
</cp:coreProperties>
</file>